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8D3" w:rsidRDefault="004D48D3" w:rsidP="004D48D3">
      <w:pPr>
        <w:framePr w:w="9072" w:hSpace="187" w:vSpace="187" w:wrap="notBeside" w:vAnchor="text" w:hAnchor="page" w:x="1564" w:y="1123"/>
        <w:jc w:val="both"/>
        <w:rPr>
          <w:sz w:val="24"/>
          <w:szCs w:val="24"/>
          <w:vertAlign w:val="superscript"/>
        </w:rPr>
      </w:pPr>
      <w:r w:rsidRPr="00EA2567">
        <w:rPr>
          <w:sz w:val="24"/>
          <w:szCs w:val="24"/>
        </w:rPr>
        <w:t xml:space="preserve"> </w:t>
      </w:r>
      <w:r>
        <w:rPr>
          <w:sz w:val="24"/>
          <w:szCs w:val="24"/>
        </w:rPr>
        <w:t xml:space="preserve">C.J. Wetteland </w:t>
      </w:r>
      <w:r>
        <w:rPr>
          <w:sz w:val="24"/>
          <w:szCs w:val="24"/>
          <w:vertAlign w:val="superscript"/>
        </w:rPr>
        <w:t>a</w:t>
      </w:r>
      <w:r>
        <w:rPr>
          <w:sz w:val="24"/>
          <w:szCs w:val="24"/>
        </w:rPr>
        <w:t xml:space="preserve">, K. Kriewaldt </w:t>
      </w:r>
      <w:r>
        <w:rPr>
          <w:sz w:val="24"/>
          <w:szCs w:val="24"/>
          <w:vertAlign w:val="superscript"/>
        </w:rPr>
        <w:t>b</w:t>
      </w:r>
      <w:r>
        <w:rPr>
          <w:sz w:val="24"/>
          <w:szCs w:val="24"/>
        </w:rPr>
        <w:t xml:space="preserve">, L.A. Taylor </w:t>
      </w:r>
      <w:r>
        <w:rPr>
          <w:sz w:val="24"/>
          <w:szCs w:val="24"/>
          <w:vertAlign w:val="superscript"/>
        </w:rPr>
        <w:t>c</w:t>
      </w:r>
      <w:r>
        <w:rPr>
          <w:sz w:val="24"/>
          <w:szCs w:val="24"/>
        </w:rPr>
        <w:t xml:space="preserve">, H.Y. McSween Jr. </w:t>
      </w:r>
      <w:r>
        <w:rPr>
          <w:sz w:val="24"/>
          <w:szCs w:val="24"/>
          <w:vertAlign w:val="superscript"/>
        </w:rPr>
        <w:t>c</w:t>
      </w:r>
      <w:r>
        <w:rPr>
          <w:sz w:val="24"/>
          <w:szCs w:val="24"/>
        </w:rPr>
        <w:t xml:space="preserve">, and K.E. Sickafus </w:t>
      </w:r>
      <w:r>
        <w:rPr>
          <w:sz w:val="24"/>
          <w:szCs w:val="24"/>
          <w:vertAlign w:val="superscript"/>
        </w:rPr>
        <w:t>a</w:t>
      </w:r>
    </w:p>
    <w:p w:rsidR="004D48D3" w:rsidRDefault="004D48D3" w:rsidP="004D48D3">
      <w:pPr>
        <w:framePr w:w="9072" w:hSpace="187" w:vSpace="187" w:wrap="notBeside" w:vAnchor="text" w:hAnchor="page" w:x="1564" w:y="1123"/>
        <w:jc w:val="both"/>
        <w:rPr>
          <w:sz w:val="24"/>
          <w:szCs w:val="24"/>
        </w:rPr>
      </w:pPr>
      <w:r>
        <w:rPr>
          <w:sz w:val="24"/>
          <w:szCs w:val="24"/>
          <w:vertAlign w:val="superscript"/>
        </w:rPr>
        <w:t>a</w:t>
      </w:r>
      <w:r>
        <w:rPr>
          <w:sz w:val="24"/>
          <w:szCs w:val="24"/>
        </w:rPr>
        <w:t xml:space="preserve"> Materials Science and Engineering, University of Tennessee-Knoxville</w:t>
      </w:r>
    </w:p>
    <w:p w:rsidR="004D48D3" w:rsidRDefault="004D48D3" w:rsidP="004D48D3">
      <w:pPr>
        <w:framePr w:w="9072" w:hSpace="187" w:vSpace="187" w:wrap="notBeside" w:vAnchor="text" w:hAnchor="page" w:x="1564" w:y="1123"/>
        <w:jc w:val="both"/>
        <w:rPr>
          <w:sz w:val="24"/>
          <w:szCs w:val="24"/>
        </w:rPr>
      </w:pPr>
      <w:r w:rsidRPr="00E60832">
        <w:rPr>
          <w:sz w:val="24"/>
          <w:szCs w:val="24"/>
          <w:vertAlign w:val="superscript"/>
        </w:rPr>
        <w:t>b</w:t>
      </w:r>
      <w:r>
        <w:rPr>
          <w:sz w:val="24"/>
          <w:szCs w:val="24"/>
          <w:vertAlign w:val="subscript"/>
        </w:rPr>
        <w:t xml:space="preserve"> </w:t>
      </w:r>
      <w:r>
        <w:rPr>
          <w:sz w:val="24"/>
          <w:szCs w:val="24"/>
        </w:rPr>
        <w:t>Engineering Physics, University of Wisconsin-Madison</w:t>
      </w:r>
    </w:p>
    <w:p w:rsidR="004D48D3" w:rsidRDefault="004D48D3" w:rsidP="004D48D3">
      <w:pPr>
        <w:framePr w:w="9072" w:hSpace="187" w:vSpace="187" w:wrap="notBeside" w:vAnchor="text" w:hAnchor="page" w:x="1564" w:y="1123"/>
        <w:jc w:val="both"/>
        <w:rPr>
          <w:sz w:val="24"/>
          <w:szCs w:val="24"/>
        </w:rPr>
      </w:pPr>
      <w:r>
        <w:rPr>
          <w:sz w:val="24"/>
          <w:szCs w:val="24"/>
          <w:vertAlign w:val="superscript"/>
        </w:rPr>
        <w:t xml:space="preserve">c </w:t>
      </w:r>
      <w:r>
        <w:rPr>
          <w:sz w:val="24"/>
          <w:szCs w:val="24"/>
        </w:rPr>
        <w:t>Earth and Planetary Sciences University of Tennessee-Knoxville</w:t>
      </w:r>
    </w:p>
    <w:p w:rsidR="004D48D3" w:rsidRPr="00BE38CC" w:rsidRDefault="004D48D3" w:rsidP="004D48D3">
      <w:pPr>
        <w:framePr w:w="9072" w:hSpace="187" w:vSpace="187" w:wrap="notBeside" w:vAnchor="text" w:hAnchor="page" w:x="1564" w:y="1123"/>
        <w:jc w:val="both"/>
        <w:rPr>
          <w:i/>
          <w:sz w:val="24"/>
          <w:szCs w:val="24"/>
        </w:rPr>
      </w:pPr>
      <w:r w:rsidRPr="00BE38CC">
        <w:rPr>
          <w:i/>
          <w:sz w:val="24"/>
          <w:szCs w:val="24"/>
        </w:rPr>
        <w:t>Corresponding Author: cjw@utk.edu</w:t>
      </w:r>
    </w:p>
    <w:p w:rsidR="004D48D3" w:rsidRDefault="004D48D3" w:rsidP="004D48D3">
      <w:pPr>
        <w:framePr w:w="9072" w:hSpace="187" w:vSpace="187" w:wrap="notBeside" w:vAnchor="text" w:hAnchor="page" w:x="1564" w:y="1123"/>
        <w:jc w:val="both"/>
        <w:rPr>
          <w:sz w:val="24"/>
          <w:szCs w:val="24"/>
        </w:rPr>
      </w:pPr>
    </w:p>
    <w:p w:rsidR="004D48D3" w:rsidRPr="00EA2567" w:rsidRDefault="004D48D3" w:rsidP="004D48D3">
      <w:pPr>
        <w:framePr w:w="9072" w:hSpace="187" w:vSpace="187" w:wrap="notBeside" w:vAnchor="text" w:hAnchor="page" w:x="1564" w:y="1123"/>
        <w:jc w:val="both"/>
        <w:rPr>
          <w:sz w:val="24"/>
          <w:szCs w:val="24"/>
        </w:rPr>
      </w:pPr>
      <w:r>
        <w:rPr>
          <w:sz w:val="24"/>
          <w:szCs w:val="24"/>
        </w:rPr>
        <w:t xml:space="preserve">Keywords: Residual Gas Analyzers, Ion Irradiation, Radiolysis, Volatilization   </w:t>
      </w:r>
    </w:p>
    <w:p w:rsidR="00337130" w:rsidRPr="00EA2567" w:rsidRDefault="00337130" w:rsidP="00BC796B">
      <w:pPr>
        <w:pStyle w:val="Text"/>
        <w:spacing w:line="240" w:lineRule="auto"/>
        <w:ind w:firstLine="0"/>
        <w:rPr>
          <w:sz w:val="24"/>
          <w:szCs w:val="24"/>
        </w:rPr>
      </w:pPr>
      <w:r w:rsidRPr="00EA2567">
        <w:rPr>
          <w:sz w:val="24"/>
          <w:szCs w:val="24"/>
        </w:rPr>
        <w:footnoteReference w:customMarkFollows="1" w:id="1"/>
        <w:sym w:font="Symbol" w:char="F020"/>
      </w:r>
    </w:p>
    <w:p w:rsidR="00BC796B" w:rsidRDefault="00BC796B" w:rsidP="0067197E">
      <w:pPr>
        <w:framePr w:w="9360" w:hSpace="187" w:vSpace="187" w:wrap="notBeside" w:vAnchor="text" w:hAnchor="page" w:xAlign="center" w:y="1"/>
        <w:jc w:val="center"/>
        <w:rPr>
          <w:sz w:val="24"/>
          <w:szCs w:val="24"/>
        </w:rPr>
      </w:pPr>
      <w:r>
        <w:rPr>
          <w:sz w:val="24"/>
          <w:szCs w:val="24"/>
        </w:rPr>
        <w:t>Monitoring Volatilization Products Using Residual Gas Analyzers</w:t>
      </w:r>
    </w:p>
    <w:p w:rsidR="00BC796B" w:rsidRDefault="00BC796B" w:rsidP="0067197E">
      <w:pPr>
        <w:framePr w:w="9360" w:hSpace="187" w:vSpace="187" w:wrap="notBeside" w:vAnchor="text" w:hAnchor="page" w:xAlign="center" w:y="1"/>
        <w:jc w:val="center"/>
        <w:rPr>
          <w:sz w:val="24"/>
          <w:szCs w:val="24"/>
        </w:rPr>
      </w:pPr>
      <w:r>
        <w:rPr>
          <w:sz w:val="24"/>
          <w:szCs w:val="24"/>
        </w:rPr>
        <w:t>During MeV Ion Beam Irradiations</w:t>
      </w:r>
    </w:p>
    <w:p w:rsidR="00EA2567" w:rsidRPr="00BC796B" w:rsidRDefault="00EA2567" w:rsidP="00BC796B">
      <w:pPr>
        <w:pStyle w:val="Style1"/>
        <w:rPr>
          <w:szCs w:val="24"/>
        </w:rPr>
      </w:pPr>
      <w:r w:rsidRPr="00BC796B">
        <w:rPr>
          <w:szCs w:val="24"/>
        </w:rPr>
        <w:t>ABSTRACT</w:t>
      </w:r>
    </w:p>
    <w:p w:rsidR="00BC796B" w:rsidRPr="00EA2567" w:rsidRDefault="00EA2567" w:rsidP="00BC796B">
      <w:pPr>
        <w:jc w:val="both"/>
        <w:rPr>
          <w:sz w:val="24"/>
          <w:szCs w:val="24"/>
        </w:rPr>
      </w:pPr>
      <w:r w:rsidRPr="00EA2567">
        <w:rPr>
          <w:sz w:val="24"/>
          <w:szCs w:val="24"/>
        </w:rPr>
        <w:tab/>
        <w:t xml:space="preserve">The use of Residual Gas Analyzers (RGAs) during irradiation experiments can provide valuable information when incorporated into experimental end-stations.  The instruments can track the volatilization products of beam-sensitive materials, which may ultimately aid researchers in selecting appropriate flux values for conducting experiments.  Furthermore, the type of gaseous species released during an irradiation can be monitored directly, which may lead to new insights into the radiolysis and/or heating mechanisms responsible for gas evolution.  A survey of several classes of materials exposed to extremes in particle flux is presented to show how RGA instrumentation can be incorporated to qualitatively assess ion-solid interactions in a variety of fields.  </w:t>
      </w:r>
    </w:p>
    <w:p w:rsidR="00BC796B" w:rsidRPr="00BC796B" w:rsidRDefault="00EA2567" w:rsidP="009E0FD6">
      <w:pPr>
        <w:pStyle w:val="Heading1"/>
      </w:pPr>
      <w:r w:rsidRPr="00BC796B">
        <w:t>INTRODUCTION</w:t>
      </w:r>
    </w:p>
    <w:p w:rsidR="00EA2567" w:rsidRPr="00EA2567" w:rsidRDefault="00EA2567" w:rsidP="00BC796B">
      <w:pPr>
        <w:ind w:firstLine="360"/>
        <w:jc w:val="both"/>
        <w:rPr>
          <w:sz w:val="24"/>
          <w:szCs w:val="24"/>
        </w:rPr>
      </w:pPr>
      <w:r w:rsidRPr="00EA2567">
        <w:rPr>
          <w:sz w:val="24"/>
          <w:szCs w:val="24"/>
        </w:rPr>
        <w:t>Common to many modern vacuum and accelerator systems are Residual Gas Analyzers (RGAs).  RGAs are mass spectrometers used for monitoring vacuum conditions and are especially useful for identifying leaks.      For instance, in a typical vacuum system operating in the 10</w:t>
      </w:r>
      <w:r w:rsidRPr="00EA2567">
        <w:rPr>
          <w:sz w:val="24"/>
          <w:szCs w:val="24"/>
          <w:vertAlign w:val="superscript"/>
        </w:rPr>
        <w:t xml:space="preserve">-8 </w:t>
      </w:r>
      <w:r w:rsidRPr="00EA2567">
        <w:rPr>
          <w:sz w:val="24"/>
          <w:szCs w:val="24"/>
        </w:rPr>
        <w:t>Torr range, an RGA readily measures the ~10</w:t>
      </w:r>
      <w:r w:rsidRPr="00EA2567">
        <w:rPr>
          <w:sz w:val="24"/>
          <w:szCs w:val="24"/>
          <w:vertAlign w:val="superscript"/>
        </w:rPr>
        <w:t>-9</w:t>
      </w:r>
      <w:r w:rsidRPr="00EA2567">
        <w:rPr>
          <w:sz w:val="24"/>
          <w:szCs w:val="24"/>
        </w:rPr>
        <w:t xml:space="preserve"> partial pressures of air, water, and oils, and is readily configured into a leak detection mode for helium measurement.  However, if an RGA is appropriately designed into experimental end-stations, it can become a useful instrument for measuring gaseous species that may become volatilized due to ionization and beam heating during irradiation experiments.  Two possible applications for RGAs in irradiation experiments include determining the proper beam flux for conducting accelerated irradiation experiments, and direct measurement of radiolysis (ionization) effects in materials. </w:t>
      </w:r>
    </w:p>
    <w:p w:rsidR="00EA2567" w:rsidRPr="00EA2567" w:rsidRDefault="00EA2567" w:rsidP="00BC796B">
      <w:pPr>
        <w:ind w:firstLine="360"/>
        <w:jc w:val="both"/>
        <w:rPr>
          <w:sz w:val="24"/>
          <w:szCs w:val="24"/>
        </w:rPr>
      </w:pPr>
      <w:r w:rsidRPr="00EA2567">
        <w:rPr>
          <w:sz w:val="24"/>
          <w:szCs w:val="24"/>
        </w:rPr>
        <w:t xml:space="preserve">Accelerated irradiation studies are experimental irradiations performed at dose rates in excess of the dose rates associated with the physical phenomena they are meant to simulate: such as in nuclear reactors, radioactive waste storage, and space weathering </w:t>
      </w:r>
      <w:r w:rsidRPr="00EA2567">
        <w:rPr>
          <w:sz w:val="24"/>
          <w:szCs w:val="24"/>
        </w:rPr>
        <w:fldChar w:fldCharType="begin">
          <w:fldData xml:space="preserve">PEVuZE5vdGU+PENpdGU+PEF1dGhvcj5NYXpleTwvQXV0aG9yPjxZZWFyPjE5OTA8L1llYXI+PFJl
Y051bT44NDwvUmVjTnVtPjxEaXNwbGF5VGV4dD4oQmVubmV0dCBldCBhbC4sIDIwMTM7IE1hemV5
LCAxOTkwOyBXZWJlciBldCBhbC4sIDE5OTEpPC9EaXNwbGF5VGV4dD48cmVjb3JkPjxyZWMtbnVt
YmVyPjg0PC9yZWMtbnVtYmVyPjxmb3JlaWduLWtleXM+PGtleSBhcHA9IkVOIiBkYi1pZD0iMmRk
ejB3d3NldDJmZTFlZDJkNnY5MHhpMDIwZXBwdzVwMDB3IiB0aW1lc3RhbXA9IjE0ODQ3NDE5MjIi
Pjg0PC9rZXk+PC9mb3JlaWduLWtleXM+PHJlZi10eXBlIG5hbWU9IkpvdXJuYWwgQXJ0aWNsZSI+
MTc8L3JlZi10eXBlPjxjb250cmlidXRvcnM+PGF1dGhvcnM+PGF1dGhvcj5NYXpleSwgREo8L2F1
dGhvcj48L2F1dGhvcnM+PC9jb250cmlidXRvcnM+PHRpdGxlcz48dGl0bGU+RnVuZGFtZW50YWwg
YXNwZWN0cyBvZiBoaWdoLWVuZXJneSBpb24tYmVhbSBzaW11bGF0aW9uIHRlY2huaXF1ZXMgYW5k
IHRoZWlyIHJlbGV2YW5jZSB0byBmdXNpb24gbWF0ZXJpYWxzIHN0dWRpZXM8L3RpdGxlPjxzZWNv
bmRhcnktdGl0bGU+Sm91cm5hbCBvZiBudWNsZWFyIG1hdGVyaWFsczwvc2Vjb25kYXJ5LXRpdGxl
PjwvdGl0bGVzPjxwZXJpb2RpY2FsPjxmdWxsLXRpdGxlPkpvdXJuYWwgb2YgbnVjbGVhciBtYXRl
cmlhbHM8L2Z1bGwtdGl0bGU+PC9wZXJpb2RpY2FsPjxwYWdlcz4xOTYtMjA5PC9wYWdlcz48dm9s
dW1lPjE3NDwvdm9sdW1lPjxudW1iZXI+MjwvbnVtYmVyPjxkYXRlcz48eWVhcj4xOTkwPC95ZWFy
PjwvZGF0ZXM+PGlzYm4+MDAyMi0zMTE1PC9pc2JuPjx1cmxzPjwvdXJscz48L3JlY29yZD48L0Np
dGU+PENpdGU+PEF1dGhvcj5XZWJlcjwvQXV0aG9yPjxZZWFyPjE5OTE8L1llYXI+PFJlY051bT4x
MTM8L1JlY051bT48cmVjb3JkPjxyZWMtbnVtYmVyPjExMzwvcmVjLW51bWJlcj48Zm9yZWlnbi1r
ZXlzPjxrZXkgYXBwPSJFTiIgZGItaWQ9IjJkZHowd3dzZXQyZmUxZWQyZDZ2OTB4aTAyMGVwcHc1
cDAwdyIgdGltZXN0YW1wPSIxNDkwNTM2MjY3Ij4xMTM8L2tleT48L2ZvcmVpZ24ta2V5cz48cmVm
LXR5cGUgbmFtZT0iSm91cm5hbCBBcnRpY2xlIj4xNzwvcmVmLXR5cGU+PGNvbnRyaWJ1dG9ycz48
YXV0aG9ycz48YXV0aG9yPldlYmVyLCBXSjwvYXV0aG9yPjxhdXRob3I+TWFuc3VyLCBMSzwvYXV0
aG9yPjxhdXRob3I+Q2xpbmFyZCwgRlc8L2F1dGhvcj48YXV0aG9yPlBhcmtpbiwgRE08L2F1dGhv
cj48L2F1dGhvcnM+PC9jb250cmlidXRvcnM+PHRpdGxlcz48dGl0bGU+UmFkaWF0aW9uIGVmZmVj
dHMgb24gbWF0ZXJpYWxzIGluIGhpZ2gtcmFkaWF0aW9uIGVudmlyb25tZW50czogQSB3b3Jrc2hv
cCBzdW1tYXJ5PC90aXRsZT48c2Vjb25kYXJ5LXRpdGxlPkpvdXJuYWwgb2YgbnVjbGVhciBtYXRl
cmlhbHM8L3NlY29uZGFyeS10aXRsZT48L3RpdGxlcz48cGVyaW9kaWNhbD48ZnVsbC10aXRsZT5K
b3VybmFsIG9mIG51Y2xlYXIgbWF0ZXJpYWxzPC9mdWxsLXRpdGxlPjwvcGVyaW9kaWNhbD48cGFn
ZXM+MS0yMTwvcGFnZXM+PHZvbHVtZT4xODQ8L3ZvbHVtZT48bnVtYmVyPjE8L251bWJlcj48ZGF0
ZXM+PHllYXI+MTk5MTwveWVhcj48L2RhdGVzPjxpc2JuPjAwMjItMzExNTwvaXNibj48dXJscz48
L3VybHM+PC9yZWNvcmQ+PC9DaXRlPjxDaXRlPjxBdXRob3I+QmVubmV0dDwvQXV0aG9yPjxZZWFy
PjIwMTM8L1llYXI+PFJlY051bT45PC9SZWNOdW0+PHJlY29yZD48cmVjLW51bWJlcj45PC9yZWMt
bnVtYmVyPjxmb3JlaWduLWtleXM+PGtleSBhcHA9IkVOIiBkYi1pZD0iMmRkejB3d3NldDJmZTFl
ZDJkNnY5MHhpMDIwZXBwdzVwMDB3IiB0aW1lc3RhbXA9IjAiPjk8L2tleT48L2ZvcmVpZ24ta2V5
cz48cmVmLXR5cGUgbmFtZT0iSm91cm5hbCBBcnRpY2xlIj4xNzwvcmVmLXR5cGU+PGNvbnRyaWJ1
dG9ycz48YXV0aG9ycz48YXV0aG9yPkJlbm5ldHQsIENocmlzIEo8L2F1dGhvcj48YXV0aG9yPlBp
cmltLCBDbGFpcmU8L2F1dGhvcj48YXV0aG9yPk9ybGFuZG8sIFRob21hcyBNPC9hdXRob3I+PC9h
dXRob3JzPjwvY29udHJpYnV0b3JzPjx0aXRsZXM+PHRpdGxlPlNwYWNlLXdlYXRoZXJpbmcgb2Yg
c29sYXIgc3lzdGVtIGJvZGllczogYSBsYWJvcmF0b3J5IHBlcnNwZWN0aXZlPC90aXRsZT48c2Vj
b25kYXJ5LXRpdGxlPkNoZW1pY2FsIHJldmlld3M8L3NlY29uZGFyeS10aXRsZT48L3RpdGxlcz48
cGFnZXM+OTA4Ni05MTUwPC9wYWdlcz48dm9sdW1lPjExMzwvdm9sdW1lPjxudW1iZXI+MTI8L251
bWJlcj48ZGF0ZXM+PHllYXI+MjAxMzwveWVhcj48L2RhdGVzPjxpc2JuPjAwMDktMjY2NTwvaXNi
bj48dXJscz48L3VybHM+PC9yZWNvcmQ+PC9DaXRlPjwvRW5kTm90ZT5=
</w:fldData>
        </w:fldChar>
      </w:r>
      <w:r w:rsidRPr="00EA2567">
        <w:rPr>
          <w:sz w:val="24"/>
          <w:szCs w:val="24"/>
        </w:rPr>
        <w:instrText xml:space="preserve"> ADDIN EN.CITE </w:instrText>
      </w:r>
      <w:r w:rsidRPr="00EA2567">
        <w:rPr>
          <w:sz w:val="24"/>
          <w:szCs w:val="24"/>
        </w:rPr>
        <w:fldChar w:fldCharType="begin">
          <w:fldData xml:space="preserve">PEVuZE5vdGU+PENpdGU+PEF1dGhvcj5NYXpleTwvQXV0aG9yPjxZZWFyPjE5OTA8L1llYXI+PFJl
Y051bT44NDwvUmVjTnVtPjxEaXNwbGF5VGV4dD4oQmVubmV0dCBldCBhbC4sIDIwMTM7IE1hemV5
LCAxOTkwOyBXZWJlciBldCBhbC4sIDE5OTEpPC9EaXNwbGF5VGV4dD48cmVjb3JkPjxyZWMtbnVt
YmVyPjg0PC9yZWMtbnVtYmVyPjxmb3JlaWduLWtleXM+PGtleSBhcHA9IkVOIiBkYi1pZD0iMmRk
ejB3d3NldDJmZTFlZDJkNnY5MHhpMDIwZXBwdzVwMDB3IiB0aW1lc3RhbXA9IjE0ODQ3NDE5MjIi
Pjg0PC9rZXk+PC9mb3JlaWduLWtleXM+PHJlZi10eXBlIG5hbWU9IkpvdXJuYWwgQXJ0aWNsZSI+
MTc8L3JlZi10eXBlPjxjb250cmlidXRvcnM+PGF1dGhvcnM+PGF1dGhvcj5NYXpleSwgREo8L2F1
dGhvcj48L2F1dGhvcnM+PC9jb250cmlidXRvcnM+PHRpdGxlcz48dGl0bGU+RnVuZGFtZW50YWwg
YXNwZWN0cyBvZiBoaWdoLWVuZXJneSBpb24tYmVhbSBzaW11bGF0aW9uIHRlY2huaXF1ZXMgYW5k
IHRoZWlyIHJlbGV2YW5jZSB0byBmdXNpb24gbWF0ZXJpYWxzIHN0dWRpZXM8L3RpdGxlPjxzZWNv
bmRhcnktdGl0bGU+Sm91cm5hbCBvZiBudWNsZWFyIG1hdGVyaWFsczwvc2Vjb25kYXJ5LXRpdGxl
PjwvdGl0bGVzPjxwZXJpb2RpY2FsPjxmdWxsLXRpdGxlPkpvdXJuYWwgb2YgbnVjbGVhciBtYXRl
cmlhbHM8L2Z1bGwtdGl0bGU+PC9wZXJpb2RpY2FsPjxwYWdlcz4xOTYtMjA5PC9wYWdlcz48dm9s
dW1lPjE3NDwvdm9sdW1lPjxudW1iZXI+MjwvbnVtYmVyPjxkYXRlcz48eWVhcj4xOTkwPC95ZWFy
PjwvZGF0ZXM+PGlzYm4+MDAyMi0zMTE1PC9pc2JuPjx1cmxzPjwvdXJscz48L3JlY29yZD48L0Np
dGU+PENpdGU+PEF1dGhvcj5XZWJlcjwvQXV0aG9yPjxZZWFyPjE5OTE8L1llYXI+PFJlY051bT4x
MTM8L1JlY051bT48cmVjb3JkPjxyZWMtbnVtYmVyPjExMzwvcmVjLW51bWJlcj48Zm9yZWlnbi1r
ZXlzPjxrZXkgYXBwPSJFTiIgZGItaWQ9IjJkZHowd3dzZXQyZmUxZWQyZDZ2OTB4aTAyMGVwcHc1
cDAwdyIgdGltZXN0YW1wPSIxNDkwNTM2MjY3Ij4xMTM8L2tleT48L2ZvcmVpZ24ta2V5cz48cmVm
LXR5cGUgbmFtZT0iSm91cm5hbCBBcnRpY2xlIj4xNzwvcmVmLXR5cGU+PGNvbnRyaWJ1dG9ycz48
YXV0aG9ycz48YXV0aG9yPldlYmVyLCBXSjwvYXV0aG9yPjxhdXRob3I+TWFuc3VyLCBMSzwvYXV0
aG9yPjxhdXRob3I+Q2xpbmFyZCwgRlc8L2F1dGhvcj48YXV0aG9yPlBhcmtpbiwgRE08L2F1dGhv
cj48L2F1dGhvcnM+PC9jb250cmlidXRvcnM+PHRpdGxlcz48dGl0bGU+UmFkaWF0aW9uIGVmZmVj
dHMgb24gbWF0ZXJpYWxzIGluIGhpZ2gtcmFkaWF0aW9uIGVudmlyb25tZW50czogQSB3b3Jrc2hv
cCBzdW1tYXJ5PC90aXRsZT48c2Vjb25kYXJ5LXRpdGxlPkpvdXJuYWwgb2YgbnVjbGVhciBtYXRl
cmlhbHM8L3NlY29uZGFyeS10aXRsZT48L3RpdGxlcz48cGVyaW9kaWNhbD48ZnVsbC10aXRsZT5K
b3VybmFsIG9mIG51Y2xlYXIgbWF0ZXJpYWxzPC9mdWxsLXRpdGxlPjwvcGVyaW9kaWNhbD48cGFn
ZXM+MS0yMTwvcGFnZXM+PHZvbHVtZT4xODQ8L3ZvbHVtZT48bnVtYmVyPjE8L251bWJlcj48ZGF0
ZXM+PHllYXI+MTk5MTwveWVhcj48L2RhdGVzPjxpc2JuPjAwMjItMzExNTwvaXNibj48dXJscz48
L3VybHM+PC9yZWNvcmQ+PC9DaXRlPjxDaXRlPjxBdXRob3I+QmVubmV0dDwvQXV0aG9yPjxZZWFy
PjIwMTM8L1llYXI+PFJlY051bT45PC9SZWNOdW0+PHJlY29yZD48cmVjLW51bWJlcj45PC9yZWMt
bnVtYmVyPjxmb3JlaWduLWtleXM+PGtleSBhcHA9IkVOIiBkYi1pZD0iMmRkejB3d3NldDJmZTFl
ZDJkNnY5MHhpMDIwZXBwdzVwMDB3IiB0aW1lc3RhbXA9IjAiPjk8L2tleT48L2ZvcmVpZ24ta2V5
cz48cmVmLXR5cGUgbmFtZT0iSm91cm5hbCBBcnRpY2xlIj4xNzwvcmVmLXR5cGU+PGNvbnRyaWJ1
dG9ycz48YXV0aG9ycz48YXV0aG9yPkJlbm5ldHQsIENocmlzIEo8L2F1dGhvcj48YXV0aG9yPlBp
cmltLCBDbGFpcmU8L2F1dGhvcj48YXV0aG9yPk9ybGFuZG8sIFRob21hcyBNPC9hdXRob3I+PC9h
dXRob3JzPjwvY29udHJpYnV0b3JzPjx0aXRsZXM+PHRpdGxlPlNwYWNlLXdlYXRoZXJpbmcgb2Yg
c29sYXIgc3lzdGVtIGJvZGllczogYSBsYWJvcmF0b3J5IHBlcnNwZWN0aXZlPC90aXRsZT48c2Vj
b25kYXJ5LXRpdGxlPkNoZW1pY2FsIHJldmlld3M8L3NlY29uZGFyeS10aXRsZT48L3RpdGxlcz48
cGFnZXM+OTA4Ni05MTUwPC9wYWdlcz48dm9sdW1lPjExMzwvdm9sdW1lPjxudW1iZXI+MTI8L251
bWJlcj48ZGF0ZXM+PHllYXI+MjAxMzwveWVhcj48L2RhdGVzPjxpc2JuPjAwMDktMjY2NTwvaXNi
bj48dXJscz48L3VybHM+PC9yZWNvcmQ+PC9DaXRlPjwvRW5kTm90ZT5=
</w:fldData>
        </w:fldChar>
      </w:r>
      <w:r w:rsidRPr="00EA2567">
        <w:rPr>
          <w:sz w:val="24"/>
          <w:szCs w:val="24"/>
        </w:rPr>
        <w:instrText xml:space="preserve"> ADDIN EN.CITE.DATA </w:instrText>
      </w:r>
      <w:r w:rsidRPr="00EA2567">
        <w:rPr>
          <w:sz w:val="24"/>
          <w:szCs w:val="24"/>
        </w:rPr>
      </w:r>
      <w:r w:rsidRPr="00EA2567">
        <w:rPr>
          <w:sz w:val="24"/>
          <w:szCs w:val="24"/>
        </w:rPr>
        <w:fldChar w:fldCharType="end"/>
      </w:r>
      <w:r w:rsidRPr="00EA2567">
        <w:rPr>
          <w:sz w:val="24"/>
          <w:szCs w:val="24"/>
        </w:rPr>
      </w:r>
      <w:r w:rsidRPr="00EA2567">
        <w:rPr>
          <w:sz w:val="24"/>
          <w:szCs w:val="24"/>
        </w:rPr>
        <w:fldChar w:fldCharType="separate"/>
      </w:r>
      <w:r w:rsidRPr="00EA2567">
        <w:rPr>
          <w:noProof/>
          <w:sz w:val="24"/>
          <w:szCs w:val="24"/>
        </w:rPr>
        <w:t>(Bennett et al., 2013; Mazey, 1990; Weber et al., 1991)</w:t>
      </w:r>
      <w:r w:rsidRPr="00EA2567">
        <w:rPr>
          <w:sz w:val="24"/>
          <w:szCs w:val="24"/>
        </w:rPr>
        <w:fldChar w:fldCharType="end"/>
      </w:r>
      <w:r w:rsidRPr="00EA2567">
        <w:rPr>
          <w:sz w:val="24"/>
          <w:szCs w:val="24"/>
        </w:rPr>
        <w:t xml:space="preserve">.   Whereas the energy and fluence in irradiation experiments are typically predetermined, the flux is often not.  Many experimentalists overlook this crucial variable, as the flux, or beam current, is oftentimes determined by what the equipment is capable of outputting on any given day.  Researchers benefit from stable, high-current irradiations as they can save valuable time over the course of a long irradiation campaign, particularly when considering experiments lasting days and weeks.   Furthermore, it is easy to reconcile the economics of an irradiation that could be performed over the course of eighty hours, or </w:t>
      </w:r>
      <w:r w:rsidRPr="00EA2567">
        <w:rPr>
          <w:i/>
          <w:sz w:val="24"/>
          <w:szCs w:val="24"/>
        </w:rPr>
        <w:t>tweaking</w:t>
      </w:r>
      <w:r w:rsidRPr="00EA2567">
        <w:rPr>
          <w:sz w:val="24"/>
          <w:szCs w:val="24"/>
        </w:rPr>
        <w:t xml:space="preserve"> a couple of knobs in order to complete the experiment in one long working day.  </w:t>
      </w:r>
    </w:p>
    <w:p w:rsidR="00EA2567" w:rsidRPr="00EA2567" w:rsidRDefault="00EA2567" w:rsidP="00BC796B">
      <w:pPr>
        <w:ind w:firstLine="720"/>
        <w:jc w:val="both"/>
        <w:rPr>
          <w:sz w:val="24"/>
          <w:szCs w:val="24"/>
        </w:rPr>
      </w:pPr>
      <w:r w:rsidRPr="00EA2567">
        <w:rPr>
          <w:sz w:val="24"/>
          <w:szCs w:val="24"/>
        </w:rPr>
        <w:t xml:space="preserve">Most ion irradiation experiments typically use keV or MeV beams with nanoamp to microamp beam currents, resulting in fractions of a watt-like energy deposition.  Even these seemingly innocuous wattages can elevate the temperature in the irradiated region, as the volume of energy deposition is small; ion ranges are typically on the order of nanometers to tens of microns in depth for most materials.  Limiting the temperature gain in the target is critical, as elevated temperatures may result in deleterious effects such as volatilization and undesired defect </w:t>
      </w:r>
      <w:r w:rsidRPr="00EA2567">
        <w:rPr>
          <w:sz w:val="24"/>
          <w:szCs w:val="24"/>
        </w:rPr>
        <w:lastRenderedPageBreak/>
        <w:t xml:space="preserve">recombination or dynamic annealing </w:t>
      </w:r>
      <w:r w:rsidRPr="00EA2567">
        <w:rPr>
          <w:sz w:val="24"/>
          <w:szCs w:val="24"/>
        </w:rPr>
        <w:fldChar w:fldCharType="begin">
          <w:fldData xml:space="preserve">PEVuZE5vdGU+PENpdGU+PEF1dGhvcj5Hb2xkYmVyZzwvQXV0aG9yPjxZZWFyPjE5OTU8L1llYXI+
PFJlY051bT45MjwvUmVjTnVtPjxEaXNwbGF5VGV4dD4oR29sZGJlcmcgZXQgYWwuLCAxOTk1OyBL
dXpuZXRzb3YgZXQgYWwuLCAyMDAzOyBQZWxheiBldCBhbC4sIDIwMDQpPC9EaXNwbGF5VGV4dD48
cmVjb3JkPjxyZWMtbnVtYmVyPjkyPC9yZWMtbnVtYmVyPjxmb3JlaWduLWtleXM+PGtleSBhcHA9
IkVOIiBkYi1pZD0iMmRkejB3d3NldDJmZTFlZDJkNnY5MHhpMDIwZXBwdzVwMDB3IiB0aW1lc3Rh
bXA9IjE0ODU1MzU0NzgiPjkyPC9rZXk+PC9mb3JlaWduLWtleXM+PHJlZi10eXBlIG5hbWU9Ikpv
dXJuYWwgQXJ0aWNsZSI+MTc8L3JlZi10eXBlPjxjb250cmlidXRvcnM+PGF1dGhvcnM+PGF1dGhv
cj5Hb2xkYmVyZywgUkQ8L2F1dGhvcj48YXV0aG9yPldpbGxpYW1zLCBKUzwvYXV0aG9yPjxhdXRo
b3I+RWxsaW1hbiwgUkc8L2F1dGhvcj48L2F1dGhvcnM+PC9jb250cmlidXRvcnM+PHRpdGxlcz48
dGl0bGU+QW1vcnBoaXphdGlvbiBvZiBzaWxpY29uIGJ5IGVsZXZhdGVkIHRlbXBlcmF0dXJlIGlv
biBpcnJhZGlhdGlvbjwvdGl0bGU+PHNlY29uZGFyeS10aXRsZT5OdWNsZWFyIEluc3RydW1lbnRz
IGFuZCBNZXRob2RzIGluIFBoeXNpY3MgUmVzZWFyY2ggU2VjdGlvbiBCOiBCZWFtIEludGVyYWN0
aW9ucyB3aXRoIE1hdGVyaWFscyBhbmQgQXRvbXM8L3NlY29uZGFyeS10aXRsZT48L3RpdGxlcz48
cGVyaW9kaWNhbD48ZnVsbC10aXRsZT5OdWNsZWFyIEluc3RydW1lbnRzIGFuZCBNZXRob2RzIGlu
IFBoeXNpY3MgUmVzZWFyY2ggU2VjdGlvbiBCOiBCZWFtIEludGVyYWN0aW9ucyB3aXRoIE1hdGVy
aWFscyBhbmQgQXRvbXM8L2Z1bGwtdGl0bGU+PC9wZXJpb2RpY2FsPjxwYWdlcz4yNDItMjQ3PC9w
YWdlcz48dm9sdW1lPjEwNjwvdm9sdW1lPjxudW1iZXI+MS00PC9udW1iZXI+PGRhdGVzPjx5ZWFy
PjE5OTU8L3llYXI+PC9kYXRlcz48aXNibj4wMTY4LTU4M1g8L2lzYm4+PHVybHM+PC91cmxzPjwv
cmVjb3JkPjwvQ2l0ZT48Q2l0ZT48QXV0aG9yPkt1em5ldHNvdjwvQXV0aG9yPjxZZWFyPjIwMDM8
L1llYXI+PFJlY051bT45NTwvUmVjTnVtPjxyZWNvcmQ+PHJlYy1udW1iZXI+OTU8L3JlYy1udW1i
ZXI+PGZvcmVpZ24ta2V5cz48a2V5IGFwcD0iRU4iIGRiLWlkPSIyZGR6MHd3c2V0MmZlMWVkMmQ2
djkweGkwMjBlcHB3NXAwMHciIHRpbWVzdGFtcD0iMTQ4NTUzNjI0NSI+OTU8L2tleT48L2ZvcmVp
Z24ta2V5cz48cmVmLXR5cGUgbmFtZT0iSm91cm5hbCBBcnRpY2xlIj4xNzwvcmVmLXR5cGU+PGNv
bnRyaWJ1dG9ycz48YXV0aG9ycz48YXV0aG9yPkt1em5ldHNvdiwgQSBZdTwvYXV0aG9yPjxhdXRo
b3I+V29uZy1MZXVuZywgSjwvYXV0aG9yPjxhdXRob3I+SGFsbMOpbiwgQW5kZXJzPC9hdXRob3I+
PGF1dGhvcj5KYWdhZGlzaCwgQzwvYXV0aG9yPjxhdXRob3I+U3ZlbnNzb24sIEJHPC9hdXRob3I+
PC9hdXRob3JzPjwvY29udHJpYnV0b3JzPjx0aXRsZXM+PHRpdGxlPkR5bmFtaWMgYW5uZWFsaW5n
IGluIGlvbiBpbXBsYW50ZWQgU2lDOiBGbHV4IHZlcnN1cyB0ZW1wZXJhdHVyZSBkZXBlbmRlbmNl
PC90aXRsZT48c2Vjb25kYXJ5LXRpdGxlPkpvdXJuYWwgb2YgYXBwbGllZCBwaHlzaWNzPC9zZWNv
bmRhcnktdGl0bGU+PC90aXRsZXM+PHBlcmlvZGljYWw+PGZ1bGwtdGl0bGU+Sm91cm5hbCBvZiBh
cHBsaWVkIHBoeXNpY3M8L2Z1bGwtdGl0bGU+PC9wZXJpb2RpY2FsPjxwYWdlcz43MTEyLTcxMTU8
L3BhZ2VzPjx2b2x1bWU+OTQ8L3ZvbHVtZT48bnVtYmVyPjExPC9udW1iZXI+PGRhdGVzPjx5ZWFy
PjIwMDM8L3llYXI+PC9kYXRlcz48aXNibj4wMDIxLTg5Nzk8L2lzYm4+PHVybHM+PC91cmxzPjwv
cmVjb3JkPjwvQ2l0ZT48Q2l0ZT48QXV0aG9yPlBlbGF6PC9BdXRob3I+PFllYXI+MjAwNDwvWWVh
cj48UmVjTnVtPjk0PC9SZWNOdW0+PHJlY29yZD48cmVjLW51bWJlcj45NDwvcmVjLW51bWJlcj48
Zm9yZWlnbi1rZXlzPjxrZXkgYXBwPSJFTiIgZGItaWQ9IjJkZHowd3dzZXQyZmUxZWQyZDZ2OTB4
aTAyMGVwcHc1cDAwdyIgdGltZXN0YW1wPSIxNDg1NTM1OTgxIj45NDwva2V5PjwvZm9yZWlnbi1r
ZXlzPjxyZWYtdHlwZSBuYW1lPSJKb3VybmFsIEFydGljbGUiPjE3PC9yZWYtdHlwZT48Y29udHJp
YnV0b3JzPjxhdXRob3JzPjxhdXRob3I+UGVsYXosIExvdXJkZXM8L2F1dGhvcj48YXV0aG9yPk1h
cnF1w6lzLCBMdWlzIEE8L2F1dGhvcj48YXV0aG9yPkJhcmJvbGxhLCBKdWFuPC9hdXRob3I+PC9h
dXRob3JzPjwvY29udHJpYnV0b3JzPjx0aXRsZXM+PHRpdGxlPklvbi1iZWFtLWluZHVjZWQgYW1v
cnBoaXphdGlvbiBhbmQgcmVjcnlzdGFsbGl6YXRpb24gaW4gc2lsaWNvbjwvdGl0bGU+PHNlY29u
ZGFyeS10aXRsZT5Kb3VybmFsIG9mIGFwcGxpZWQgcGh5c2ljczwvc2Vjb25kYXJ5LXRpdGxlPjwv
dGl0bGVzPjxwZXJpb2RpY2FsPjxmdWxsLXRpdGxlPkpvdXJuYWwgb2YgYXBwbGllZCBwaHlzaWNz
PC9mdWxsLXRpdGxlPjwvcGVyaW9kaWNhbD48cGFnZXM+NTk0Ny01OTc2PC9wYWdlcz48dm9sdW1l
Pjk2PC92b2x1bWU+PG51bWJlcj4xMTwvbnVtYmVyPjxkYXRlcz48eWVhcj4yMDA0PC95ZWFyPjwv
ZGF0ZXM+PGlzYm4+MDAyMS04OTc5PC9pc2JuPjx1cmxzPjwvdXJscz48L3JlY29yZD48L0NpdGU+
PC9FbmROb3RlPgB=
</w:fldData>
        </w:fldChar>
      </w:r>
      <w:r w:rsidRPr="00EA2567">
        <w:rPr>
          <w:sz w:val="24"/>
          <w:szCs w:val="24"/>
        </w:rPr>
        <w:instrText xml:space="preserve"> ADDIN EN.CITE </w:instrText>
      </w:r>
      <w:r w:rsidRPr="00EA2567">
        <w:rPr>
          <w:sz w:val="24"/>
          <w:szCs w:val="24"/>
        </w:rPr>
        <w:fldChar w:fldCharType="begin">
          <w:fldData xml:space="preserve">PEVuZE5vdGU+PENpdGU+PEF1dGhvcj5Hb2xkYmVyZzwvQXV0aG9yPjxZZWFyPjE5OTU8L1llYXI+
PFJlY051bT45MjwvUmVjTnVtPjxEaXNwbGF5VGV4dD4oR29sZGJlcmcgZXQgYWwuLCAxOTk1OyBL
dXpuZXRzb3YgZXQgYWwuLCAyMDAzOyBQZWxheiBldCBhbC4sIDIwMDQpPC9EaXNwbGF5VGV4dD48
cmVjb3JkPjxyZWMtbnVtYmVyPjkyPC9yZWMtbnVtYmVyPjxmb3JlaWduLWtleXM+PGtleSBhcHA9
IkVOIiBkYi1pZD0iMmRkejB3d3NldDJmZTFlZDJkNnY5MHhpMDIwZXBwdzVwMDB3IiB0aW1lc3Rh
bXA9IjE0ODU1MzU0NzgiPjkyPC9rZXk+PC9mb3JlaWduLWtleXM+PHJlZi10eXBlIG5hbWU9Ikpv
dXJuYWwgQXJ0aWNsZSI+MTc8L3JlZi10eXBlPjxjb250cmlidXRvcnM+PGF1dGhvcnM+PGF1dGhv
cj5Hb2xkYmVyZywgUkQ8L2F1dGhvcj48YXV0aG9yPldpbGxpYW1zLCBKUzwvYXV0aG9yPjxhdXRo
b3I+RWxsaW1hbiwgUkc8L2F1dGhvcj48L2F1dGhvcnM+PC9jb250cmlidXRvcnM+PHRpdGxlcz48
dGl0bGU+QW1vcnBoaXphdGlvbiBvZiBzaWxpY29uIGJ5IGVsZXZhdGVkIHRlbXBlcmF0dXJlIGlv
biBpcnJhZGlhdGlvbjwvdGl0bGU+PHNlY29uZGFyeS10aXRsZT5OdWNsZWFyIEluc3RydW1lbnRz
IGFuZCBNZXRob2RzIGluIFBoeXNpY3MgUmVzZWFyY2ggU2VjdGlvbiBCOiBCZWFtIEludGVyYWN0
aW9ucyB3aXRoIE1hdGVyaWFscyBhbmQgQXRvbXM8L3NlY29uZGFyeS10aXRsZT48L3RpdGxlcz48
cGVyaW9kaWNhbD48ZnVsbC10aXRsZT5OdWNsZWFyIEluc3RydW1lbnRzIGFuZCBNZXRob2RzIGlu
IFBoeXNpY3MgUmVzZWFyY2ggU2VjdGlvbiBCOiBCZWFtIEludGVyYWN0aW9ucyB3aXRoIE1hdGVy
aWFscyBhbmQgQXRvbXM8L2Z1bGwtdGl0bGU+PC9wZXJpb2RpY2FsPjxwYWdlcz4yNDItMjQ3PC9w
YWdlcz48dm9sdW1lPjEwNjwvdm9sdW1lPjxudW1iZXI+MS00PC9udW1iZXI+PGRhdGVzPjx5ZWFy
PjE5OTU8L3llYXI+PC9kYXRlcz48aXNibj4wMTY4LTU4M1g8L2lzYm4+PHVybHM+PC91cmxzPjwv
cmVjb3JkPjwvQ2l0ZT48Q2l0ZT48QXV0aG9yPkt1em5ldHNvdjwvQXV0aG9yPjxZZWFyPjIwMDM8
L1llYXI+PFJlY051bT45NTwvUmVjTnVtPjxyZWNvcmQ+PHJlYy1udW1iZXI+OTU8L3JlYy1udW1i
ZXI+PGZvcmVpZ24ta2V5cz48a2V5IGFwcD0iRU4iIGRiLWlkPSIyZGR6MHd3c2V0MmZlMWVkMmQ2
djkweGkwMjBlcHB3NXAwMHciIHRpbWVzdGFtcD0iMTQ4NTUzNjI0NSI+OTU8L2tleT48L2ZvcmVp
Z24ta2V5cz48cmVmLXR5cGUgbmFtZT0iSm91cm5hbCBBcnRpY2xlIj4xNzwvcmVmLXR5cGU+PGNv
bnRyaWJ1dG9ycz48YXV0aG9ycz48YXV0aG9yPkt1em5ldHNvdiwgQSBZdTwvYXV0aG9yPjxhdXRo
b3I+V29uZy1MZXVuZywgSjwvYXV0aG9yPjxhdXRob3I+SGFsbMOpbiwgQW5kZXJzPC9hdXRob3I+
PGF1dGhvcj5KYWdhZGlzaCwgQzwvYXV0aG9yPjxhdXRob3I+U3ZlbnNzb24sIEJHPC9hdXRob3I+
PC9hdXRob3JzPjwvY29udHJpYnV0b3JzPjx0aXRsZXM+PHRpdGxlPkR5bmFtaWMgYW5uZWFsaW5n
IGluIGlvbiBpbXBsYW50ZWQgU2lDOiBGbHV4IHZlcnN1cyB0ZW1wZXJhdHVyZSBkZXBlbmRlbmNl
PC90aXRsZT48c2Vjb25kYXJ5LXRpdGxlPkpvdXJuYWwgb2YgYXBwbGllZCBwaHlzaWNzPC9zZWNv
bmRhcnktdGl0bGU+PC90aXRsZXM+PHBlcmlvZGljYWw+PGZ1bGwtdGl0bGU+Sm91cm5hbCBvZiBh
cHBsaWVkIHBoeXNpY3M8L2Z1bGwtdGl0bGU+PC9wZXJpb2RpY2FsPjxwYWdlcz43MTEyLTcxMTU8
L3BhZ2VzPjx2b2x1bWU+OTQ8L3ZvbHVtZT48bnVtYmVyPjExPC9udW1iZXI+PGRhdGVzPjx5ZWFy
PjIwMDM8L3llYXI+PC9kYXRlcz48aXNibj4wMDIxLTg5Nzk8L2lzYm4+PHVybHM+PC91cmxzPjwv
cmVjb3JkPjwvQ2l0ZT48Q2l0ZT48QXV0aG9yPlBlbGF6PC9BdXRob3I+PFllYXI+MjAwNDwvWWVh
cj48UmVjTnVtPjk0PC9SZWNOdW0+PHJlY29yZD48cmVjLW51bWJlcj45NDwvcmVjLW51bWJlcj48
Zm9yZWlnbi1rZXlzPjxrZXkgYXBwPSJFTiIgZGItaWQ9IjJkZHowd3dzZXQyZmUxZWQyZDZ2OTB4
aTAyMGVwcHc1cDAwdyIgdGltZXN0YW1wPSIxNDg1NTM1OTgxIj45NDwva2V5PjwvZm9yZWlnbi1r
ZXlzPjxyZWYtdHlwZSBuYW1lPSJKb3VybmFsIEFydGljbGUiPjE3PC9yZWYtdHlwZT48Y29udHJp
YnV0b3JzPjxhdXRob3JzPjxhdXRob3I+UGVsYXosIExvdXJkZXM8L2F1dGhvcj48YXV0aG9yPk1h
cnF1w6lzLCBMdWlzIEE8L2F1dGhvcj48YXV0aG9yPkJhcmJvbGxhLCBKdWFuPC9hdXRob3I+PC9h
dXRob3JzPjwvY29udHJpYnV0b3JzPjx0aXRsZXM+PHRpdGxlPklvbi1iZWFtLWluZHVjZWQgYW1v
cnBoaXphdGlvbiBhbmQgcmVjcnlzdGFsbGl6YXRpb24gaW4gc2lsaWNvbjwvdGl0bGU+PHNlY29u
ZGFyeS10aXRsZT5Kb3VybmFsIG9mIGFwcGxpZWQgcGh5c2ljczwvc2Vjb25kYXJ5LXRpdGxlPjwv
dGl0bGVzPjxwZXJpb2RpY2FsPjxmdWxsLXRpdGxlPkpvdXJuYWwgb2YgYXBwbGllZCBwaHlzaWNz
PC9mdWxsLXRpdGxlPjwvcGVyaW9kaWNhbD48cGFnZXM+NTk0Ny01OTc2PC9wYWdlcz48dm9sdW1l
Pjk2PC92b2x1bWU+PG51bWJlcj4xMTwvbnVtYmVyPjxkYXRlcz48eWVhcj4yMDA0PC95ZWFyPjwv
ZGF0ZXM+PGlzYm4+MDAyMS04OTc5PC9pc2JuPjx1cmxzPjwvdXJscz48L3JlY29yZD48L0NpdGU+
PC9FbmROb3RlPgB=
</w:fldData>
        </w:fldChar>
      </w:r>
      <w:r w:rsidRPr="00EA2567">
        <w:rPr>
          <w:sz w:val="24"/>
          <w:szCs w:val="24"/>
        </w:rPr>
        <w:instrText xml:space="preserve"> ADDIN EN.CITE.DATA </w:instrText>
      </w:r>
      <w:r w:rsidRPr="00EA2567">
        <w:rPr>
          <w:sz w:val="24"/>
          <w:szCs w:val="24"/>
        </w:rPr>
      </w:r>
      <w:r w:rsidRPr="00EA2567">
        <w:rPr>
          <w:sz w:val="24"/>
          <w:szCs w:val="24"/>
        </w:rPr>
        <w:fldChar w:fldCharType="end"/>
      </w:r>
      <w:r w:rsidRPr="00EA2567">
        <w:rPr>
          <w:sz w:val="24"/>
          <w:szCs w:val="24"/>
        </w:rPr>
      </w:r>
      <w:r w:rsidRPr="00EA2567">
        <w:rPr>
          <w:sz w:val="24"/>
          <w:szCs w:val="24"/>
        </w:rPr>
        <w:fldChar w:fldCharType="separate"/>
      </w:r>
      <w:r w:rsidRPr="00EA2567">
        <w:rPr>
          <w:noProof/>
          <w:sz w:val="24"/>
          <w:szCs w:val="24"/>
        </w:rPr>
        <w:t>(Goldberg et al., 1995; Kuznetsov et al., 2003; Pelaz et al., 2004)</w:t>
      </w:r>
      <w:r w:rsidRPr="00EA2567">
        <w:rPr>
          <w:sz w:val="24"/>
          <w:szCs w:val="24"/>
        </w:rPr>
        <w:fldChar w:fldCharType="end"/>
      </w:r>
      <w:r w:rsidRPr="00EA2567">
        <w:rPr>
          <w:sz w:val="24"/>
          <w:szCs w:val="24"/>
        </w:rPr>
        <w:t xml:space="preserve">. This limits the flux of particles which can be used without considering extensive mechanisms for heat removal such as liquid interfaces and other cooling schemes during irradiation </w:t>
      </w:r>
      <w:r w:rsidRPr="00EA2567">
        <w:rPr>
          <w:sz w:val="24"/>
          <w:szCs w:val="24"/>
        </w:rPr>
        <w:fldChar w:fldCharType="begin"/>
      </w:r>
      <w:r w:rsidRPr="00EA2567">
        <w:rPr>
          <w:sz w:val="24"/>
          <w:szCs w:val="24"/>
        </w:rPr>
        <w:instrText xml:space="preserve"> ADDIN EN.CITE &lt;EndNote&gt;&lt;Cite&gt;&lt;Author&gt;Naab&lt;/Author&gt;&lt;Year&gt;2011&lt;/Year&gt;&lt;RecNum&gt;97&lt;/RecNum&gt;&lt;DisplayText&gt;(Naab et al., 2011)&lt;/DisplayText&gt;&lt;record&gt;&lt;rec-number&gt;97&lt;/rec-number&gt;&lt;foreign-keys&gt;&lt;key app="EN" db-id="2ddz0wwset2fe1ed2d6v90xi020eppw5p00w" timestamp="1485880678"&gt;97&lt;/key&gt;&lt;/foreign-keys&gt;&lt;ref-type name="Conference Proceedings"&gt;10&lt;/ref-type&gt;&lt;contributors&gt;&lt;authors&gt;&lt;author&gt;Naab, FU&lt;/author&gt;&lt;author&gt;West, EA&lt;/author&gt;&lt;author&gt;Toader, OF&lt;/author&gt;&lt;author&gt;Was, GS&lt;/author&gt;&lt;author&gt;McDaniel, Floyd D&lt;/author&gt;&lt;author&gt;Doyle, Barney L&lt;/author&gt;&lt;/authors&gt;&lt;/contributors&gt;&lt;titles&gt;&lt;title&gt;Conducting Well</w:instrText>
      </w:r>
      <w:r w:rsidRPr="00EA2567">
        <w:rPr>
          <w:rFonts w:ascii="Cambria Math" w:hAnsi="Cambria Math" w:cs="Cambria Math"/>
          <w:sz w:val="24"/>
          <w:szCs w:val="24"/>
        </w:rPr>
        <w:instrText>‐</w:instrText>
      </w:r>
      <w:r w:rsidRPr="00EA2567">
        <w:rPr>
          <w:sz w:val="24"/>
          <w:szCs w:val="24"/>
        </w:rPr>
        <w:instrText>Controlled Ion Irradiations To Understand Neutron Irradiation Effects In Materials&lt;/title&gt;&lt;secondary-title&gt;AIP Conference Proceedings&lt;/secondary-title&gt;&lt;/titles&gt;&lt;pages&gt;325-331&lt;/pages&gt;&lt;volume&gt;1336&lt;/volume&gt;&lt;number&gt;1&lt;/number&gt;&lt;dates&gt;&lt;year&gt;2011&lt;/year&gt;&lt;/dates&gt;&lt;publisher&gt;AIP&lt;/publisher&gt;&lt;isbn&gt;0735408912&lt;/isbn&gt;&lt;urls&gt;&lt;/urls&gt;&lt;/record&gt;&lt;/Cite&gt;&lt;/EndNote&gt;</w:instrText>
      </w:r>
      <w:r w:rsidRPr="00EA2567">
        <w:rPr>
          <w:sz w:val="24"/>
          <w:szCs w:val="24"/>
        </w:rPr>
        <w:fldChar w:fldCharType="separate"/>
      </w:r>
      <w:r w:rsidRPr="00EA2567">
        <w:rPr>
          <w:noProof/>
          <w:sz w:val="24"/>
          <w:szCs w:val="24"/>
        </w:rPr>
        <w:t>(Naab et al., 2011)</w:t>
      </w:r>
      <w:r w:rsidRPr="00EA2567">
        <w:rPr>
          <w:sz w:val="24"/>
          <w:szCs w:val="24"/>
        </w:rPr>
        <w:fldChar w:fldCharType="end"/>
      </w:r>
      <w:r w:rsidRPr="00EA2567">
        <w:rPr>
          <w:sz w:val="24"/>
          <w:szCs w:val="24"/>
        </w:rPr>
        <w:t xml:space="preserve">.  </w:t>
      </w:r>
    </w:p>
    <w:p w:rsidR="00EA2567" w:rsidRPr="00EA2567" w:rsidRDefault="00EA2567" w:rsidP="00BC796B">
      <w:pPr>
        <w:ind w:firstLine="720"/>
        <w:jc w:val="both"/>
        <w:rPr>
          <w:sz w:val="24"/>
          <w:szCs w:val="24"/>
        </w:rPr>
      </w:pPr>
      <w:r w:rsidRPr="00EA2567">
        <w:rPr>
          <w:sz w:val="24"/>
          <w:szCs w:val="24"/>
        </w:rPr>
        <w:t xml:space="preserve">In addition to tracking the role of beam flux during an irradiation, the RGA can be used to understand radiation degradation and radiolysis in materials.  For instance, the technique has been used to simulate α-particle exposure in polymers that come into close contact with actinides </w:t>
      </w:r>
      <w:r w:rsidRPr="00EA2567">
        <w:rPr>
          <w:sz w:val="24"/>
          <w:szCs w:val="24"/>
        </w:rPr>
        <w:fldChar w:fldCharType="begin">
          <w:fldData xml:space="preserve">PEVuZE5vdGU+PENpdGU+PEF1dGhvcj5GaXNoZXI8L0F1dGhvcj48WWVhcj4yMDA2PC9ZZWFyPjxS
ZWNOdW0+ODc8L1JlY051bT48RGlzcGxheVRleHQ+KEZpc2hlciBldCBhbC4sIDIwMDY7IFB1Z21p
cmUgZXQgYWwuLCAyMDA5OyBXZXR0ZWxhbmQgZXQgYWwuLCAyMDA2KTwvRGlzcGxheVRleHQ+PHJl
Y29yZD48cmVjLW51bWJlcj44NzwvcmVjLW51bWJlcj48Zm9yZWlnbi1rZXlzPjxrZXkgYXBwPSJF
TiIgZGItaWQ9IjJkZHowd3dzZXQyZmUxZWQyZDZ2OTB4aTAyMGVwcHc1cDAwdyIgdGltZXN0YW1w
PSIxNDg1MDkzNTQ1Ij44Nzwva2V5PjwvZm9yZWlnbi1rZXlzPjxyZWYtdHlwZSBuYW1lPSJKb3Vy
bmFsIEFydGljbGUiPjE3PC9yZWYtdHlwZT48Y29udHJpYnV0b3JzPjxhdXRob3JzPjxhdXRob3I+
RmlzaGVyLCBHcmVnb3J5IEw8L2F1dGhvcj48YXV0aG9yPkxha2lzLCBSb2xsaW4gRTwvYXV0aG9y
PjxhdXRob3I+RGF2aXMsIENoYXJsZXMgQzwvYXV0aG9yPjxhdXRob3I+U3pha2FsLCBDaHJpc3Rv
cGhlcjwvYXV0aG9yPjxhdXRob3I+U3dhZGVuZXIsIEpvaG4gRzwvYXV0aG9yPjxhdXRob3I+V2V0
dGVsYW5kLCBDaHJpc3RvcGhlciBKPC9hdXRob3I+PGF1dGhvcj5XaW5vZ3JhZCwgTmljaG9sYXM8
L2F1dGhvcj48L2F1dGhvcnM+PC9jb250cmlidXRvcnM+PHRpdGxlcz48dGl0bGU+TWVjaGFuaWNh
bCBwcm9wZXJ0aWVzIGFuZCB0aGUgZXZvbHV0aW9uIG9mIG1hdHJpeCBtb2xlY3VsZXMgaW4gUFRG
RSB1cG9uIGlycmFkaWF0aW9uIHdpdGggTWVWIGFscGhhIHBhcnRpY2xlczwvdGl0bGU+PHNlY29u
ZGFyeS10aXRsZT5BcHBsaWVkIFN1cmZhY2UgU2NpZW5jZTwvc2Vjb25kYXJ5LXRpdGxlPjwvdGl0
bGVzPjxwZXJpb2RpY2FsPjxmdWxsLXRpdGxlPkFwcGxpZWQgU3VyZmFjZSBTY2llbmNlPC9mdWxs
LXRpdGxlPjwvcGVyaW9kaWNhbD48cGFnZXM+MTMzMC0xMzQyPC9wYWdlcz48dm9sdW1lPjI1Mzwv
dm9sdW1lPjxudW1iZXI+MzwvbnVtYmVyPjxkYXRlcz48eWVhcj4yMDA2PC95ZWFyPjwvZGF0ZXM+
PGlzYm4+MDE2OS00MzMyPC9pc2JuPjx1cmxzPjwvdXJscz48L3JlY29yZD48L0NpdGU+PENpdGU+
PEF1dGhvcj5QdWdtaXJlPC9BdXRob3I+PFllYXI+MjAwOTwvWWVhcj48UmVjTnVtPjg4PC9SZWNO
dW0+PHJlY29yZD48cmVjLW51bWJlcj44ODwvcmVjLW51bWJlcj48Zm9yZWlnbi1rZXlzPjxrZXkg
YXBwPSJFTiIgZGItaWQ9IjJkZHowd3dzZXQyZmUxZWQyZDZ2OTB4aTAyMGVwcHc1cDAwdyIgdGlt
ZXN0YW1wPSIxNDg1MDkzNTY3Ij44ODwva2V5PjwvZm9yZWlnbi1rZXlzPjxyZWYtdHlwZSBuYW1l
PSJKb3VybmFsIEFydGljbGUiPjE3PC9yZWYtdHlwZT48Y29udHJpYnV0b3JzPjxhdXRob3JzPjxh
dXRob3I+UHVnbWlyZSwgRGF2aWQgTDwvYXV0aG9yPjxhdXRob3I+V2V0dGVsYW5kLCBDaHJpc3Rv
cGhlciBKPC9hdXRob3I+PGF1dGhvcj5EdW5jYW4sIFdhbmRhIFM8L2F1dGhvcj48YXV0aG9yPkxh
a2lzLCBSb2xsaW4gRTwvYXV0aG9yPjxhdXRob3I+U2Nod2FydHosIERhbmllbCBTPC9hdXRob3I+
PC9hdXRob3JzPjwvY29udHJpYnV0b3JzPjx0aXRsZXM+PHRpdGxlPkNyb3NzLWxpbmtpbmcgb2Yg
cG9seXRldHJhZmx1b3JvZXRoeWxlbmUgZHVyaW5nIHJvb20tdGVtcGVyYXR1cmUgaXJyYWRpYXRp
b248L3RpdGxlPjxzZWNvbmRhcnktdGl0bGU+UG9seW1lciBEZWdyYWRhdGlvbiBhbmQgU3RhYmls
aXR5PC9zZWNvbmRhcnktdGl0bGU+PC90aXRsZXM+PHBlcmlvZGljYWw+PGZ1bGwtdGl0bGU+UG9s
eW1lciBEZWdyYWRhdGlvbiBhbmQgU3RhYmlsaXR5PC9mdWxsLXRpdGxlPjwvcGVyaW9kaWNhbD48
cGFnZXM+MTUzMy0xNTQxPC9wYWdlcz48dm9sdW1lPjk0PC92b2x1bWU+PG51bWJlcj45PC9udW1i
ZXI+PGRhdGVzPjx5ZWFyPjIwMDk8L3llYXI+PC9kYXRlcz48aXNibj4wMTQxLTM5MTA8L2lzYm4+
PHVybHM+PC91cmxzPjwvcmVjb3JkPjwvQ2l0ZT48Q2l0ZT48QXV0aG9yPldldHRlbGFuZDwvQXV0
aG9yPjxZZWFyPjIwMDY8L1llYXI+PFJlY051bT44MTwvUmVjTnVtPjxyZWNvcmQ+PHJlYy1udW1i
ZXI+ODE8L3JlYy1udW1iZXI+PGZvcmVpZ24ta2V5cz48a2V5IGFwcD0iRU4iIGRiLWlkPSIyZGR6
MHd3c2V0MmZlMWVkMmQ2djkweGkwMjBlcHB3NXAwMHciIHRpbWVzdGFtcD0iMTQ4NDEzODc3OCI+
ODE8L2tleT48L2ZvcmVpZ24ta2V5cz48cmVmLXR5cGUgbmFtZT0iSm91cm5hbCBBcnRpY2xlIj4x
NzwvcmVmLXR5cGU+PGNvbnRyaWJ1dG9ycz48YXV0aG9ycz48YXV0aG9yPldldHRlbGFuZCwgQ0o8
L2F1dGhvcj48YXV0aG9yPkdvc25lbGwsIEc8L2F1dGhvcj48YXV0aG9yPkhvbGxhbmRlciwgTUc8
L2F1dGhvcj48YXV0aG9yPlRlc21lciwgSlI8L2F1dGhvcj48YXV0aG9yPk1vb2RheSwgUjwvYXV0
aG9yPjxhdXRob3I+V2FuZywgWVE8L2F1dGhvcj48L2F1dGhvcnM+PC9jb250cmlidXRvcnM+PHRp
dGxlcz48dGl0bGU+SW9uIGJlYW0gaXJyYWRpYXRpb24gb2YgcG9seXRldHJhZmx1cm9ldGh5bGVu
ZS1sb2FkZWQgcG9seWV0aGVyZXRoZXJrZXRvbmU8L3RpdGxlPjxzZWNvbmRhcnktdGl0bGU+TnVj
bGVhciBJbnN0cnVtZW50cyBhbmQgTWV0aG9kcyBpbiBQaHlzaWNzIFJlc2VhcmNoIFNlY3Rpb24g
QjogQmVhbSBJbnRlcmFjdGlvbnMgd2l0aCBNYXRlcmlhbHMgYW5kIEF0b21zPC9zZWNvbmRhcnkt
dGl0bGU+PC90aXRsZXM+PHBlcmlvZGljYWw+PGZ1bGwtdGl0bGU+TnVjbGVhciBJbnN0cnVtZW50
cyBhbmQgTWV0aG9kcyBpbiBQaHlzaWNzIFJlc2VhcmNoIFNlY3Rpb24gQjogQmVhbSBJbnRlcmFj
dGlvbnMgd2l0aCBNYXRlcmlhbHMgYW5kIEF0b21zPC9mdWxsLXRpdGxlPjwvcGVyaW9kaWNhbD48
cGFnZXM+Mzk2LTQwMTwvcGFnZXM+PHZvbHVtZT4yNTA8L3ZvbHVtZT48bnVtYmVyPjE8L251bWJl
cj48ZGF0ZXM+PHllYXI+MjAwNjwveWVhcj48L2RhdGVzPjxpc2JuPjAxNjgtNTgzWDwvaXNibj48
dXJscz48L3VybHM+PC9yZWNvcmQ+PC9DaXRlPjwvRW5kTm90ZT5=
</w:fldData>
        </w:fldChar>
      </w:r>
      <w:r w:rsidRPr="00EA2567">
        <w:rPr>
          <w:sz w:val="24"/>
          <w:szCs w:val="24"/>
        </w:rPr>
        <w:instrText xml:space="preserve"> ADDIN EN.CITE </w:instrText>
      </w:r>
      <w:r w:rsidRPr="00EA2567">
        <w:rPr>
          <w:sz w:val="24"/>
          <w:szCs w:val="24"/>
        </w:rPr>
        <w:fldChar w:fldCharType="begin">
          <w:fldData xml:space="preserve">PEVuZE5vdGU+PENpdGU+PEF1dGhvcj5GaXNoZXI8L0F1dGhvcj48WWVhcj4yMDA2PC9ZZWFyPjxS
ZWNOdW0+ODc8L1JlY051bT48RGlzcGxheVRleHQ+KEZpc2hlciBldCBhbC4sIDIwMDY7IFB1Z21p
cmUgZXQgYWwuLCAyMDA5OyBXZXR0ZWxhbmQgZXQgYWwuLCAyMDA2KTwvRGlzcGxheVRleHQ+PHJl
Y29yZD48cmVjLW51bWJlcj44NzwvcmVjLW51bWJlcj48Zm9yZWlnbi1rZXlzPjxrZXkgYXBwPSJF
TiIgZGItaWQ9IjJkZHowd3dzZXQyZmUxZWQyZDZ2OTB4aTAyMGVwcHc1cDAwdyIgdGltZXN0YW1w
PSIxNDg1MDkzNTQ1Ij44Nzwva2V5PjwvZm9yZWlnbi1rZXlzPjxyZWYtdHlwZSBuYW1lPSJKb3Vy
bmFsIEFydGljbGUiPjE3PC9yZWYtdHlwZT48Y29udHJpYnV0b3JzPjxhdXRob3JzPjxhdXRob3I+
RmlzaGVyLCBHcmVnb3J5IEw8L2F1dGhvcj48YXV0aG9yPkxha2lzLCBSb2xsaW4gRTwvYXV0aG9y
PjxhdXRob3I+RGF2aXMsIENoYXJsZXMgQzwvYXV0aG9yPjxhdXRob3I+U3pha2FsLCBDaHJpc3Rv
cGhlcjwvYXV0aG9yPjxhdXRob3I+U3dhZGVuZXIsIEpvaG4gRzwvYXV0aG9yPjxhdXRob3I+V2V0
dGVsYW5kLCBDaHJpc3RvcGhlciBKPC9hdXRob3I+PGF1dGhvcj5XaW5vZ3JhZCwgTmljaG9sYXM8
L2F1dGhvcj48L2F1dGhvcnM+PC9jb250cmlidXRvcnM+PHRpdGxlcz48dGl0bGU+TWVjaGFuaWNh
bCBwcm9wZXJ0aWVzIGFuZCB0aGUgZXZvbHV0aW9uIG9mIG1hdHJpeCBtb2xlY3VsZXMgaW4gUFRG
RSB1cG9uIGlycmFkaWF0aW9uIHdpdGggTWVWIGFscGhhIHBhcnRpY2xlczwvdGl0bGU+PHNlY29u
ZGFyeS10aXRsZT5BcHBsaWVkIFN1cmZhY2UgU2NpZW5jZTwvc2Vjb25kYXJ5LXRpdGxlPjwvdGl0
bGVzPjxwZXJpb2RpY2FsPjxmdWxsLXRpdGxlPkFwcGxpZWQgU3VyZmFjZSBTY2llbmNlPC9mdWxs
LXRpdGxlPjwvcGVyaW9kaWNhbD48cGFnZXM+MTMzMC0xMzQyPC9wYWdlcz48dm9sdW1lPjI1Mzwv
dm9sdW1lPjxudW1iZXI+MzwvbnVtYmVyPjxkYXRlcz48eWVhcj4yMDA2PC95ZWFyPjwvZGF0ZXM+
PGlzYm4+MDE2OS00MzMyPC9pc2JuPjx1cmxzPjwvdXJscz48L3JlY29yZD48L0NpdGU+PENpdGU+
PEF1dGhvcj5QdWdtaXJlPC9BdXRob3I+PFllYXI+MjAwOTwvWWVhcj48UmVjTnVtPjg4PC9SZWNO
dW0+PHJlY29yZD48cmVjLW51bWJlcj44ODwvcmVjLW51bWJlcj48Zm9yZWlnbi1rZXlzPjxrZXkg
YXBwPSJFTiIgZGItaWQ9IjJkZHowd3dzZXQyZmUxZWQyZDZ2OTB4aTAyMGVwcHc1cDAwdyIgdGlt
ZXN0YW1wPSIxNDg1MDkzNTY3Ij44ODwva2V5PjwvZm9yZWlnbi1rZXlzPjxyZWYtdHlwZSBuYW1l
PSJKb3VybmFsIEFydGljbGUiPjE3PC9yZWYtdHlwZT48Y29udHJpYnV0b3JzPjxhdXRob3JzPjxh
dXRob3I+UHVnbWlyZSwgRGF2aWQgTDwvYXV0aG9yPjxhdXRob3I+V2V0dGVsYW5kLCBDaHJpc3Rv
cGhlciBKPC9hdXRob3I+PGF1dGhvcj5EdW5jYW4sIFdhbmRhIFM8L2F1dGhvcj48YXV0aG9yPkxh
a2lzLCBSb2xsaW4gRTwvYXV0aG9yPjxhdXRob3I+U2Nod2FydHosIERhbmllbCBTPC9hdXRob3I+
PC9hdXRob3JzPjwvY29udHJpYnV0b3JzPjx0aXRsZXM+PHRpdGxlPkNyb3NzLWxpbmtpbmcgb2Yg
cG9seXRldHJhZmx1b3JvZXRoeWxlbmUgZHVyaW5nIHJvb20tdGVtcGVyYXR1cmUgaXJyYWRpYXRp
b248L3RpdGxlPjxzZWNvbmRhcnktdGl0bGU+UG9seW1lciBEZWdyYWRhdGlvbiBhbmQgU3RhYmls
aXR5PC9zZWNvbmRhcnktdGl0bGU+PC90aXRsZXM+PHBlcmlvZGljYWw+PGZ1bGwtdGl0bGU+UG9s
eW1lciBEZWdyYWRhdGlvbiBhbmQgU3RhYmlsaXR5PC9mdWxsLXRpdGxlPjwvcGVyaW9kaWNhbD48
cGFnZXM+MTUzMy0xNTQxPC9wYWdlcz48dm9sdW1lPjk0PC92b2x1bWU+PG51bWJlcj45PC9udW1i
ZXI+PGRhdGVzPjx5ZWFyPjIwMDk8L3llYXI+PC9kYXRlcz48aXNibj4wMTQxLTM5MTA8L2lzYm4+
PHVybHM+PC91cmxzPjwvcmVjb3JkPjwvQ2l0ZT48Q2l0ZT48QXV0aG9yPldldHRlbGFuZDwvQXV0
aG9yPjxZZWFyPjIwMDY8L1llYXI+PFJlY051bT44MTwvUmVjTnVtPjxyZWNvcmQ+PHJlYy1udW1i
ZXI+ODE8L3JlYy1udW1iZXI+PGZvcmVpZ24ta2V5cz48a2V5IGFwcD0iRU4iIGRiLWlkPSIyZGR6
MHd3c2V0MmZlMWVkMmQ2djkweGkwMjBlcHB3NXAwMHciIHRpbWVzdGFtcD0iMTQ4NDEzODc3OCI+
ODE8L2tleT48L2ZvcmVpZ24ta2V5cz48cmVmLXR5cGUgbmFtZT0iSm91cm5hbCBBcnRpY2xlIj4x
NzwvcmVmLXR5cGU+PGNvbnRyaWJ1dG9ycz48YXV0aG9ycz48YXV0aG9yPldldHRlbGFuZCwgQ0o8
L2F1dGhvcj48YXV0aG9yPkdvc25lbGwsIEc8L2F1dGhvcj48YXV0aG9yPkhvbGxhbmRlciwgTUc8
L2F1dGhvcj48YXV0aG9yPlRlc21lciwgSlI8L2F1dGhvcj48YXV0aG9yPk1vb2RheSwgUjwvYXV0
aG9yPjxhdXRob3I+V2FuZywgWVE8L2F1dGhvcj48L2F1dGhvcnM+PC9jb250cmlidXRvcnM+PHRp
dGxlcz48dGl0bGU+SW9uIGJlYW0gaXJyYWRpYXRpb24gb2YgcG9seXRldHJhZmx1cm9ldGh5bGVu
ZS1sb2FkZWQgcG9seWV0aGVyZXRoZXJrZXRvbmU8L3RpdGxlPjxzZWNvbmRhcnktdGl0bGU+TnVj
bGVhciBJbnN0cnVtZW50cyBhbmQgTWV0aG9kcyBpbiBQaHlzaWNzIFJlc2VhcmNoIFNlY3Rpb24g
QjogQmVhbSBJbnRlcmFjdGlvbnMgd2l0aCBNYXRlcmlhbHMgYW5kIEF0b21zPC9zZWNvbmRhcnkt
dGl0bGU+PC90aXRsZXM+PHBlcmlvZGljYWw+PGZ1bGwtdGl0bGU+TnVjbGVhciBJbnN0cnVtZW50
cyBhbmQgTWV0aG9kcyBpbiBQaHlzaWNzIFJlc2VhcmNoIFNlY3Rpb24gQjogQmVhbSBJbnRlcmFj
dGlvbnMgd2l0aCBNYXRlcmlhbHMgYW5kIEF0b21zPC9mdWxsLXRpdGxlPjwvcGVyaW9kaWNhbD48
cGFnZXM+Mzk2LTQwMTwvcGFnZXM+PHZvbHVtZT4yNTA8L3ZvbHVtZT48bnVtYmVyPjE8L251bWJl
cj48ZGF0ZXM+PHllYXI+MjAwNjwveWVhcj48L2RhdGVzPjxpc2JuPjAxNjgtNTgzWDwvaXNibj48
dXJscz48L3VybHM+PC9yZWNvcmQ+PC9DaXRlPjwvRW5kTm90ZT5=
</w:fldData>
        </w:fldChar>
      </w:r>
      <w:r w:rsidRPr="00EA2567">
        <w:rPr>
          <w:sz w:val="24"/>
          <w:szCs w:val="24"/>
        </w:rPr>
        <w:instrText xml:space="preserve"> ADDIN EN.CITE.DATA </w:instrText>
      </w:r>
      <w:r w:rsidRPr="00EA2567">
        <w:rPr>
          <w:sz w:val="24"/>
          <w:szCs w:val="24"/>
        </w:rPr>
      </w:r>
      <w:r w:rsidRPr="00EA2567">
        <w:rPr>
          <w:sz w:val="24"/>
          <w:szCs w:val="24"/>
        </w:rPr>
        <w:fldChar w:fldCharType="end"/>
      </w:r>
      <w:r w:rsidRPr="00EA2567">
        <w:rPr>
          <w:sz w:val="24"/>
          <w:szCs w:val="24"/>
        </w:rPr>
      </w:r>
      <w:r w:rsidRPr="00EA2567">
        <w:rPr>
          <w:sz w:val="24"/>
          <w:szCs w:val="24"/>
        </w:rPr>
        <w:fldChar w:fldCharType="separate"/>
      </w:r>
      <w:r w:rsidRPr="00EA2567">
        <w:rPr>
          <w:noProof/>
          <w:sz w:val="24"/>
          <w:szCs w:val="24"/>
        </w:rPr>
        <w:t>(Fisher et al., 2006; Pugmire et al., 2009; Wetteland et al., 2006)</w:t>
      </w:r>
      <w:r w:rsidRPr="00EA2567">
        <w:rPr>
          <w:sz w:val="24"/>
          <w:szCs w:val="24"/>
        </w:rPr>
        <w:fldChar w:fldCharType="end"/>
      </w:r>
      <w:r w:rsidRPr="00EA2567">
        <w:rPr>
          <w:sz w:val="24"/>
          <w:szCs w:val="24"/>
        </w:rPr>
        <w:t xml:space="preserve">.  A novel analogous example is understanding the effects of high-energy protons from solar flares on precursor planetary material. Stars such as our Sun were far more active proton emitters during their early evolution. It is possible that chemical alteration of primitive solar material could be simulated in experiments similar to those above, with chemicals released from the target material being tracked with the RGA.      </w:t>
      </w:r>
    </w:p>
    <w:p w:rsidR="00EA2567" w:rsidRPr="00EA2567" w:rsidRDefault="00EA2567" w:rsidP="00BC796B">
      <w:pPr>
        <w:ind w:firstLine="720"/>
        <w:jc w:val="both"/>
        <w:rPr>
          <w:sz w:val="24"/>
          <w:szCs w:val="24"/>
        </w:rPr>
      </w:pPr>
      <w:r w:rsidRPr="00EA2567">
        <w:rPr>
          <w:sz w:val="24"/>
          <w:szCs w:val="24"/>
        </w:rPr>
        <w:t>In this report, we present several examples of ion irradiation experiments wherein we used an RGA to monitor radiolysis effects and target volatilization. Our examples involve multiple classes of materials.</w:t>
      </w:r>
    </w:p>
    <w:p w:rsidR="00BC796B" w:rsidRPr="00BC796B" w:rsidRDefault="00EA2567" w:rsidP="009E0FD6">
      <w:pPr>
        <w:pStyle w:val="Heading1"/>
      </w:pPr>
      <w:r w:rsidRPr="00BC796B">
        <w:t>EXPERIMENTAL</w:t>
      </w:r>
    </w:p>
    <w:p w:rsidR="004D48D3" w:rsidRPr="00EA2567" w:rsidRDefault="00EA2567" w:rsidP="00BC796B">
      <w:pPr>
        <w:jc w:val="both"/>
        <w:rPr>
          <w:sz w:val="24"/>
          <w:szCs w:val="24"/>
        </w:rPr>
      </w:pPr>
      <w:r w:rsidRPr="00EA2567">
        <w:rPr>
          <w:sz w:val="24"/>
          <w:szCs w:val="24"/>
        </w:rPr>
        <w:tab/>
        <w:t>A series of ion beam irradiations were performed using 2 MeV H</w:t>
      </w:r>
      <w:r w:rsidRPr="00EA2567">
        <w:rPr>
          <w:sz w:val="24"/>
          <w:szCs w:val="24"/>
          <w:vertAlign w:val="superscript"/>
        </w:rPr>
        <w:t>+</w:t>
      </w:r>
      <w:r w:rsidRPr="00EA2567">
        <w:rPr>
          <w:sz w:val="24"/>
          <w:szCs w:val="24"/>
        </w:rPr>
        <w:t xml:space="preserve"> ions (University of Wisconsin-UW) and 5.5 MeV He</w:t>
      </w:r>
      <w:r w:rsidRPr="00EA2567">
        <w:rPr>
          <w:sz w:val="24"/>
          <w:szCs w:val="24"/>
          <w:vertAlign w:val="superscript"/>
        </w:rPr>
        <w:t>++</w:t>
      </w:r>
      <w:r w:rsidRPr="00EA2567">
        <w:rPr>
          <w:sz w:val="24"/>
          <w:szCs w:val="24"/>
        </w:rPr>
        <w:t xml:space="preserve"> ions (Los Alamos National Laboratory -LANL).  Figure 1 shows a typical experimental setup.  A Stanford Research Systems (SRS) 300 amu (atomic mass unit) RGA was connected in series with the end-station and the accelerator beam line for the LANL experiments.   Twin 70 </w:t>
      </w:r>
      <w:r w:rsidRPr="00EA2567">
        <w:rPr>
          <w:i/>
          <w:sz w:val="24"/>
          <w:szCs w:val="24"/>
        </w:rPr>
        <w:t xml:space="preserve">l/s </w:t>
      </w:r>
      <w:r w:rsidRPr="00EA2567">
        <w:rPr>
          <w:sz w:val="24"/>
          <w:szCs w:val="24"/>
        </w:rPr>
        <w:t xml:space="preserve">turbo pumps are adjacent to the ionizing filament as can be observed in detail 10 of the figure.  For the experiments conducted at UW, the RGA was mounted on the side of the end-station using a single 70 </w:t>
      </w:r>
      <w:r w:rsidRPr="00EA2567">
        <w:rPr>
          <w:i/>
          <w:sz w:val="24"/>
          <w:szCs w:val="24"/>
        </w:rPr>
        <w:t>l/s</w:t>
      </w:r>
      <w:r w:rsidRPr="00EA2567">
        <w:rPr>
          <w:sz w:val="24"/>
          <w:szCs w:val="24"/>
        </w:rPr>
        <w:t xml:space="preserve"> pump adjacent to the filament.  In both configurations, some portion of the volatilized products are pulled past the RGA filament due to the local pressure gradient created by the turbo pumps.  The SRS RGA has manufacturer detection limits of 5x10</w:t>
      </w:r>
      <w:r w:rsidRPr="00EA2567">
        <w:rPr>
          <w:sz w:val="24"/>
          <w:szCs w:val="24"/>
          <w:vertAlign w:val="superscript"/>
        </w:rPr>
        <w:t xml:space="preserve">-11 </w:t>
      </w:r>
      <w:r w:rsidRPr="00EA2567">
        <w:rPr>
          <w:sz w:val="24"/>
          <w:szCs w:val="24"/>
        </w:rPr>
        <w:t>Torr using the instrument’s Faraday cup, and 5x10</w:t>
      </w:r>
      <w:r w:rsidRPr="00EA2567">
        <w:rPr>
          <w:sz w:val="24"/>
          <w:szCs w:val="24"/>
          <w:vertAlign w:val="superscript"/>
        </w:rPr>
        <w:t xml:space="preserve">-14 </w:t>
      </w:r>
      <w:r w:rsidRPr="00EA2567">
        <w:rPr>
          <w:sz w:val="24"/>
          <w:szCs w:val="24"/>
        </w:rPr>
        <w:t xml:space="preserve">when the optional electron multiplier is used.    The maximum operating pressures for the Faraday cup and electron multiplier </w:t>
      </w:r>
    </w:p>
    <w:tbl>
      <w:tblPr>
        <w:tblStyle w:val="TableGrid"/>
        <w:tblW w:w="0" w:type="auto"/>
        <w:tblLook w:val="04A0" w:firstRow="1" w:lastRow="0" w:firstColumn="1" w:lastColumn="0" w:noHBand="0" w:noVBand="1"/>
      </w:tblPr>
      <w:tblGrid>
        <w:gridCol w:w="5030"/>
      </w:tblGrid>
      <w:tr w:rsidR="004D48D3" w:rsidTr="004D48D3">
        <w:tc>
          <w:tcPr>
            <w:tcW w:w="5030" w:type="dxa"/>
            <w:tcBorders>
              <w:top w:val="nil"/>
              <w:left w:val="nil"/>
              <w:bottom w:val="nil"/>
              <w:right w:val="nil"/>
            </w:tcBorders>
          </w:tcPr>
          <w:p w:rsidR="004D48D3" w:rsidRDefault="004D48D3" w:rsidP="004D48D3">
            <w:pPr>
              <w:keepNext/>
              <w:jc w:val="both"/>
            </w:pPr>
            <w:r>
              <w:rPr>
                <w:noProof/>
                <w:sz w:val="24"/>
                <w:szCs w:val="24"/>
              </w:rPr>
              <w:drawing>
                <wp:inline distT="0" distB="0" distL="0" distR="0" wp14:anchorId="31296CA3" wp14:editId="1D397FAF">
                  <wp:extent cx="2749649" cy="2377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9649" cy="2377440"/>
                          </a:xfrm>
                          <a:prstGeom prst="rect">
                            <a:avLst/>
                          </a:prstGeom>
                          <a:noFill/>
                        </pic:spPr>
                      </pic:pic>
                    </a:graphicData>
                  </a:graphic>
                </wp:inline>
              </w:drawing>
            </w:r>
          </w:p>
          <w:p w:rsidR="004D48D3" w:rsidRPr="004D48D3" w:rsidRDefault="004D48D3" w:rsidP="004D48D3">
            <w:pPr>
              <w:pStyle w:val="Caption"/>
              <w:jc w:val="both"/>
            </w:pPr>
            <w:r w:rsidRPr="004D48D3">
              <w:rPr>
                <w:color w:val="auto"/>
              </w:rPr>
              <w:t xml:space="preserve">Figure </w:t>
            </w:r>
            <w:r w:rsidRPr="004D48D3">
              <w:rPr>
                <w:color w:val="auto"/>
              </w:rPr>
              <w:fldChar w:fldCharType="begin"/>
            </w:r>
            <w:r w:rsidRPr="004D48D3">
              <w:rPr>
                <w:color w:val="auto"/>
              </w:rPr>
              <w:instrText xml:space="preserve"> SEQ Figure \* ARABIC </w:instrText>
            </w:r>
            <w:r w:rsidRPr="004D48D3">
              <w:rPr>
                <w:color w:val="auto"/>
              </w:rPr>
              <w:fldChar w:fldCharType="separate"/>
            </w:r>
            <w:r w:rsidR="005645BB">
              <w:rPr>
                <w:noProof/>
                <w:color w:val="auto"/>
              </w:rPr>
              <w:t>1</w:t>
            </w:r>
            <w:r w:rsidRPr="004D48D3">
              <w:rPr>
                <w:color w:val="auto"/>
              </w:rPr>
              <w:fldChar w:fldCharType="end"/>
            </w:r>
            <w:r w:rsidRPr="004D48D3">
              <w:rPr>
                <w:color w:val="auto"/>
              </w:rPr>
              <w:t xml:space="preserve">  An experimental end-station capable of performing both traditional ion beam analysis and RGA studies.  Volatile products generated on the target located at (1) are pulled in an opposite direction to the beam towards the turbo pumps for the RGA and beamline; the aperture at (8) can be used to restrict loss to the beamline.  To assure all gasses generated from exposure were measured by the RGA, a beam transparent window could be inserted at (8) to isolate the chamber completely from the remainder of the accelerator, increasing the sensitivity on the spectrometer.  </w:t>
            </w:r>
          </w:p>
        </w:tc>
      </w:tr>
    </w:tbl>
    <w:p w:rsidR="00EA2567" w:rsidRPr="00EA2567" w:rsidRDefault="00EA2567" w:rsidP="00BC796B">
      <w:pPr>
        <w:jc w:val="both"/>
        <w:rPr>
          <w:sz w:val="24"/>
          <w:szCs w:val="24"/>
        </w:rPr>
      </w:pPr>
      <w:r w:rsidRPr="00EA2567">
        <w:rPr>
          <w:sz w:val="24"/>
          <w:szCs w:val="24"/>
        </w:rPr>
        <w:t>are 10</w:t>
      </w:r>
      <w:r w:rsidRPr="00EA2567">
        <w:rPr>
          <w:sz w:val="24"/>
          <w:szCs w:val="24"/>
          <w:vertAlign w:val="superscript"/>
        </w:rPr>
        <w:t>-4</w:t>
      </w:r>
      <w:r w:rsidRPr="00EA2567">
        <w:rPr>
          <w:sz w:val="24"/>
          <w:szCs w:val="24"/>
        </w:rPr>
        <w:t xml:space="preserve"> and 10</w:t>
      </w:r>
      <w:r w:rsidRPr="00EA2567">
        <w:rPr>
          <w:sz w:val="24"/>
          <w:szCs w:val="24"/>
          <w:vertAlign w:val="superscript"/>
        </w:rPr>
        <w:t xml:space="preserve">-6 </w:t>
      </w:r>
      <w:r w:rsidRPr="00EA2567">
        <w:rPr>
          <w:sz w:val="24"/>
          <w:szCs w:val="24"/>
        </w:rPr>
        <w:t>Torr respectively.  The instrument is capable of monitoring up to 10 different amu species simultaneously, with the data being output in multiple pressure-versus-time configurations.  The data presented in this report typically entails only one or two of the volatilized products for a given sample, and is displayed with the partial pressure (Torr) on the ordinate, with time on the abscissa.  It should be noted that the mass filter selects species based on their mass over charge ratio (</w:t>
      </w:r>
      <w:r w:rsidRPr="00EA2567">
        <w:rPr>
          <w:i/>
          <w:sz w:val="24"/>
          <w:szCs w:val="24"/>
        </w:rPr>
        <w:t>m/q</w:t>
      </w:r>
      <w:r w:rsidRPr="00EA2567">
        <w:rPr>
          <w:sz w:val="24"/>
          <w:szCs w:val="24"/>
        </w:rPr>
        <w:t xml:space="preserve">), and that data displayed represents a major element in the target. The targets were mechanically mounted on an electrically isolated, un-biased stainless steel stage, with charge collected using a Brookhaven Instruments Corporation (BIC) current integrator. The current measured on the isolated stage agreed well with a pre-chamber Faraday cup. </w:t>
      </w:r>
    </w:p>
    <w:p w:rsidR="004D48D3" w:rsidRPr="00EA2567" w:rsidRDefault="00EA2567" w:rsidP="00BC796B">
      <w:pPr>
        <w:jc w:val="both"/>
        <w:rPr>
          <w:sz w:val="24"/>
          <w:szCs w:val="24"/>
        </w:rPr>
      </w:pPr>
      <w:r w:rsidRPr="00EA2567">
        <w:rPr>
          <w:sz w:val="24"/>
          <w:szCs w:val="24"/>
        </w:rPr>
        <w:t xml:space="preserve"> </w:t>
      </w:r>
      <w:r w:rsidRPr="00EA2567">
        <w:rPr>
          <w:sz w:val="24"/>
          <w:szCs w:val="24"/>
        </w:rPr>
        <w:tab/>
        <w:t>Materials examined include: (1) a polished slab of Portland cement and (2) a zone refined nickel slab, each irradiated with un-scanned 2 MeV H</w:t>
      </w:r>
      <w:r w:rsidRPr="00EA2567">
        <w:rPr>
          <w:sz w:val="24"/>
          <w:szCs w:val="24"/>
          <w:vertAlign w:val="superscript"/>
        </w:rPr>
        <w:t>+</w:t>
      </w:r>
      <w:r w:rsidRPr="00EA2567">
        <w:rPr>
          <w:sz w:val="24"/>
          <w:szCs w:val="24"/>
        </w:rPr>
        <w:t xml:space="preserve"> ions to simulate neutron exposure in a reactor environment; (3) a Kapton</w:t>
      </w:r>
      <w:r w:rsidRPr="00EA2567">
        <w:rPr>
          <w:sz w:val="24"/>
          <w:szCs w:val="24"/>
          <w:vertAlign w:val="superscript"/>
        </w:rPr>
        <w:t>®</w:t>
      </w:r>
      <w:r w:rsidRPr="00EA2567">
        <w:rPr>
          <w:sz w:val="24"/>
          <w:szCs w:val="24"/>
        </w:rPr>
        <w:t xml:space="preserve"> (polyimide) film irradiated with scanned 5.5 MeV He</w:t>
      </w:r>
      <w:r w:rsidRPr="00EA2567">
        <w:rPr>
          <w:sz w:val="24"/>
          <w:szCs w:val="24"/>
          <w:vertAlign w:val="superscript"/>
        </w:rPr>
        <w:t>++</w:t>
      </w:r>
      <w:r w:rsidRPr="00EA2567">
        <w:rPr>
          <w:sz w:val="24"/>
          <w:szCs w:val="24"/>
        </w:rPr>
        <w:t xml:space="preserve"> ions to simulate α-particle exposure from an actinide; and (4) a sulfide mineral irradiated with un-scanned 2 MeV H</w:t>
      </w:r>
      <w:r w:rsidRPr="00EA2567">
        <w:rPr>
          <w:sz w:val="24"/>
          <w:szCs w:val="24"/>
          <w:vertAlign w:val="superscript"/>
        </w:rPr>
        <w:t>+</w:t>
      </w:r>
      <w:r w:rsidRPr="00EA2567">
        <w:rPr>
          <w:sz w:val="24"/>
          <w:szCs w:val="24"/>
        </w:rPr>
        <w:t xml:space="preserve"> ions to simulate meteorite precursor material exposed to solar flare particles during stellar evolution.  Post irradiation analysis techniques </w:t>
      </w:r>
    </w:p>
    <w:p w:rsidR="00EA2567" w:rsidRDefault="004D48D3" w:rsidP="00BC796B">
      <w:pPr>
        <w:jc w:val="both"/>
        <w:rPr>
          <w:sz w:val="24"/>
          <w:szCs w:val="24"/>
        </w:rPr>
      </w:pPr>
      <w:r w:rsidRPr="004D48D3">
        <w:rPr>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185420</wp:posOffset>
                </wp:positionV>
                <wp:extent cx="6553200" cy="28257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2825750"/>
                        </a:xfrm>
                        <a:prstGeom prst="rect">
                          <a:avLst/>
                        </a:prstGeom>
                        <a:solidFill>
                          <a:srgbClr val="FFFFFF"/>
                        </a:solidFill>
                        <a:ln w="9525">
                          <a:noFill/>
                          <a:miter lim="800000"/>
                          <a:headEnd/>
                          <a:tailEnd/>
                        </a:ln>
                      </wps:spPr>
                      <wps:txbx>
                        <w:txbxContent>
                          <w:p w:rsidR="004D48D3" w:rsidRPr="004D48D3" w:rsidRDefault="004D48D3" w:rsidP="004D48D3">
                            <w:pPr>
                              <w:pStyle w:val="Caption"/>
                              <w:keepNext/>
                              <w:rPr>
                                <w:color w:val="auto"/>
                              </w:rPr>
                            </w:pPr>
                            <w:r w:rsidRPr="004D48D3">
                              <w:rPr>
                                <w:color w:val="auto"/>
                              </w:rPr>
                              <w:t xml:space="preserve">Table </w:t>
                            </w:r>
                            <w:r w:rsidRPr="004D48D3">
                              <w:rPr>
                                <w:color w:val="auto"/>
                              </w:rPr>
                              <w:fldChar w:fldCharType="begin"/>
                            </w:r>
                            <w:r w:rsidRPr="004D48D3">
                              <w:rPr>
                                <w:color w:val="auto"/>
                              </w:rPr>
                              <w:instrText xml:space="preserve"> SEQ Table \* ARABIC </w:instrText>
                            </w:r>
                            <w:r w:rsidRPr="004D48D3">
                              <w:rPr>
                                <w:color w:val="auto"/>
                              </w:rPr>
                              <w:fldChar w:fldCharType="separate"/>
                            </w:r>
                            <w:r w:rsidRPr="004D48D3">
                              <w:rPr>
                                <w:noProof/>
                                <w:color w:val="auto"/>
                              </w:rPr>
                              <w:t>1</w:t>
                            </w:r>
                            <w:r w:rsidRPr="004D48D3">
                              <w:rPr>
                                <w:color w:val="auto"/>
                              </w:rPr>
                              <w:fldChar w:fldCharType="end"/>
                            </w:r>
                            <w:r w:rsidRPr="004D48D3">
                              <w:rPr>
                                <w:rFonts w:eastAsiaTheme="minorHAnsi"/>
                                <w:color w:val="auto"/>
                                <w:sz w:val="24"/>
                                <w:szCs w:val="24"/>
                              </w:rPr>
                              <w:t xml:space="preserve"> </w:t>
                            </w:r>
                            <w:r w:rsidRPr="004D48D3">
                              <w:rPr>
                                <w:color w:val="auto"/>
                              </w:rPr>
                              <w:t>Target details and experimental irradiation conditions</w:t>
                            </w:r>
                            <w:r w:rsidR="005645BB">
                              <w:rPr>
                                <w:color w:val="auto"/>
                              </w:rPr>
                              <w:t>.</w:t>
                            </w:r>
                          </w:p>
                          <w:tbl>
                            <w:tblPr>
                              <w:tblW w:w="9630" w:type="dxa"/>
                              <w:jc w:val="center"/>
                              <w:tblBorders>
                                <w:top w:val="single" w:sz="12" w:space="0" w:color="808080"/>
                                <w:bottom w:val="single" w:sz="12" w:space="0" w:color="808080"/>
                              </w:tblBorders>
                              <w:tblLayout w:type="fixed"/>
                              <w:tblLook w:val="0000" w:firstRow="0" w:lastRow="0" w:firstColumn="0" w:lastColumn="0" w:noHBand="0" w:noVBand="0"/>
                            </w:tblPr>
                            <w:tblGrid>
                              <w:gridCol w:w="900"/>
                              <w:gridCol w:w="1710"/>
                              <w:gridCol w:w="1170"/>
                              <w:gridCol w:w="1620"/>
                              <w:gridCol w:w="1620"/>
                              <w:gridCol w:w="900"/>
                              <w:gridCol w:w="1710"/>
                            </w:tblGrid>
                            <w:tr w:rsidR="004D48D3" w:rsidRPr="004D48D3" w:rsidTr="004E6791">
                              <w:trPr>
                                <w:trHeight w:val="440"/>
                                <w:jc w:val="center"/>
                              </w:trPr>
                              <w:tc>
                                <w:tcPr>
                                  <w:tcW w:w="900" w:type="dxa"/>
                                  <w:tcBorders>
                                    <w:top w:val="single" w:sz="4" w:space="0" w:color="auto"/>
                                    <w:left w:val="nil"/>
                                    <w:bottom w:val="single" w:sz="4" w:space="0" w:color="auto"/>
                                    <w:right w:val="nil"/>
                                  </w:tcBorders>
                                  <w:vAlign w:val="center"/>
                                </w:tcPr>
                                <w:p w:rsidR="004D48D3" w:rsidRPr="004D48D3" w:rsidRDefault="004D48D3" w:rsidP="004D48D3">
                                  <w:pPr>
                                    <w:rPr>
                                      <w:b/>
                                      <w:sz w:val="16"/>
                                      <w:szCs w:val="16"/>
                                    </w:rPr>
                                  </w:pPr>
                                  <w:r w:rsidRPr="004D48D3">
                                    <w:rPr>
                                      <w:b/>
                                      <w:sz w:val="16"/>
                                      <w:szCs w:val="16"/>
                                    </w:rPr>
                                    <w:t>Material</w:t>
                                  </w:r>
                                </w:p>
                              </w:tc>
                              <w:tc>
                                <w:tcPr>
                                  <w:tcW w:w="171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Target Geometry</w:t>
                                  </w:r>
                                </w:p>
                              </w:tc>
                              <w:tc>
                                <w:tcPr>
                                  <w:tcW w:w="117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Ion &amp; Energy</w:t>
                                  </w:r>
                                </w:p>
                              </w:tc>
                              <w:tc>
                                <w:tcPr>
                                  <w:tcW w:w="162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Facility</w:t>
                                  </w:r>
                                </w:p>
                              </w:tc>
                              <w:tc>
                                <w:tcPr>
                                  <w:tcW w:w="162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 xml:space="preserve">Irradiation </w:t>
                                  </w:r>
                                </w:p>
                                <w:p w:rsidR="004D48D3" w:rsidRPr="004D48D3" w:rsidRDefault="004D48D3" w:rsidP="004D48D3">
                                  <w:pPr>
                                    <w:jc w:val="center"/>
                                    <w:rPr>
                                      <w:b/>
                                      <w:sz w:val="16"/>
                                      <w:szCs w:val="16"/>
                                    </w:rPr>
                                  </w:pPr>
                                  <w:r w:rsidRPr="004D48D3">
                                    <w:rPr>
                                      <w:b/>
                                      <w:sz w:val="16"/>
                                      <w:szCs w:val="16"/>
                                    </w:rPr>
                                    <w:t>Area</w:t>
                                  </w:r>
                                </w:p>
                              </w:tc>
                              <w:tc>
                                <w:tcPr>
                                  <w:tcW w:w="90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 xml:space="preserve">Beam </w:t>
                                  </w:r>
                                </w:p>
                                <w:p w:rsidR="004D48D3" w:rsidRPr="004D48D3" w:rsidRDefault="004D48D3" w:rsidP="004D48D3">
                                  <w:pPr>
                                    <w:jc w:val="center"/>
                                    <w:rPr>
                                      <w:b/>
                                      <w:sz w:val="16"/>
                                      <w:szCs w:val="16"/>
                                    </w:rPr>
                                  </w:pPr>
                                  <w:r w:rsidRPr="004D48D3">
                                    <w:rPr>
                                      <w:b/>
                                      <w:sz w:val="16"/>
                                      <w:szCs w:val="16"/>
                                    </w:rPr>
                                    <w:t>Current</w:t>
                                  </w:r>
                                </w:p>
                              </w:tc>
                              <w:tc>
                                <w:tcPr>
                                  <w:tcW w:w="171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Flux/Fluence</w:t>
                                  </w:r>
                                </w:p>
                              </w:tc>
                            </w:tr>
                            <w:tr w:rsidR="004D48D3" w:rsidRPr="004D48D3" w:rsidTr="004E6791">
                              <w:trPr>
                                <w:jc w:val="center"/>
                              </w:trPr>
                              <w:tc>
                                <w:tcPr>
                                  <w:tcW w:w="900" w:type="dxa"/>
                                  <w:tcBorders>
                                    <w:top w:val="single" w:sz="4" w:space="0" w:color="auto"/>
                                    <w:left w:val="nil"/>
                                    <w:bottom w:val="nil"/>
                                    <w:right w:val="nil"/>
                                  </w:tcBorders>
                                </w:tcPr>
                                <w:p w:rsidR="004E6791" w:rsidRDefault="004E6791" w:rsidP="004D48D3">
                                  <w:pPr>
                                    <w:rPr>
                                      <w:iCs/>
                                      <w:sz w:val="16"/>
                                      <w:szCs w:val="16"/>
                                    </w:rPr>
                                  </w:pPr>
                                </w:p>
                                <w:p w:rsidR="004D48D3" w:rsidRPr="004D48D3" w:rsidRDefault="004D48D3" w:rsidP="004D48D3">
                                  <w:pPr>
                                    <w:rPr>
                                      <w:sz w:val="16"/>
                                      <w:szCs w:val="16"/>
                                    </w:rPr>
                                  </w:pPr>
                                  <w:r w:rsidRPr="004D48D3">
                                    <w:rPr>
                                      <w:iCs/>
                                      <w:sz w:val="16"/>
                                      <w:szCs w:val="16"/>
                                    </w:rPr>
                                    <w:t>Portland Cement</w:t>
                                  </w:r>
                                </w:p>
                              </w:tc>
                              <w:tc>
                                <w:tcPr>
                                  <w:tcW w:w="1710" w:type="dxa"/>
                                  <w:tcBorders>
                                    <w:top w:val="single" w:sz="4" w:space="0" w:color="auto"/>
                                    <w:left w:val="nil"/>
                                    <w:bottom w:val="nil"/>
                                    <w:right w:val="nil"/>
                                  </w:tcBorders>
                                </w:tcPr>
                                <w:p w:rsidR="004E6791" w:rsidRDefault="004E6791" w:rsidP="004D48D3">
                                  <w:pPr>
                                    <w:jc w:val="center"/>
                                    <w:rPr>
                                      <w:sz w:val="16"/>
                                      <w:szCs w:val="16"/>
                                    </w:rPr>
                                  </w:pPr>
                                </w:p>
                                <w:p w:rsidR="004D48D3" w:rsidRPr="004D48D3" w:rsidRDefault="004D48D3" w:rsidP="004D48D3">
                                  <w:pPr>
                                    <w:jc w:val="center"/>
                                    <w:rPr>
                                      <w:sz w:val="16"/>
                                      <w:szCs w:val="16"/>
                                    </w:rPr>
                                  </w:pPr>
                                  <w:r w:rsidRPr="004D48D3">
                                    <w:rPr>
                                      <w:sz w:val="16"/>
                                      <w:szCs w:val="16"/>
                                    </w:rPr>
                                    <w:t xml:space="preserve">Polished Slab </w:t>
                                  </w:r>
                                </w:p>
                                <w:p w:rsidR="004D48D3" w:rsidRPr="004D48D3" w:rsidRDefault="004D48D3" w:rsidP="004D48D3">
                                  <w:pPr>
                                    <w:jc w:val="center"/>
                                    <w:rPr>
                                      <w:sz w:val="16"/>
                                      <w:szCs w:val="16"/>
                                    </w:rPr>
                                  </w:pPr>
                                  <w:r w:rsidRPr="004D48D3">
                                    <w:rPr>
                                      <w:sz w:val="16"/>
                                      <w:szCs w:val="16"/>
                                    </w:rPr>
                                    <w:t>48 mm</w:t>
                                  </w:r>
                                  <w:r w:rsidRPr="004D48D3">
                                    <w:rPr>
                                      <w:sz w:val="16"/>
                                      <w:szCs w:val="16"/>
                                      <w:vertAlign w:val="superscript"/>
                                    </w:rPr>
                                    <w:t>2</w:t>
                                  </w:r>
                                  <w:r w:rsidRPr="004D48D3">
                                    <w:rPr>
                                      <w:sz w:val="16"/>
                                      <w:szCs w:val="16"/>
                                    </w:rPr>
                                    <w:t xml:space="preserve"> x 4 mm thick</w:t>
                                  </w:r>
                                </w:p>
                              </w:tc>
                              <w:tc>
                                <w:tcPr>
                                  <w:tcW w:w="117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single" w:sz="4" w:space="0" w:color="auto"/>
                                    <w:left w:val="nil"/>
                                    <w:bottom w:val="nil"/>
                                    <w:right w:val="nil"/>
                                  </w:tcBorders>
                                </w:tcPr>
                                <w:p w:rsidR="004D48D3" w:rsidRPr="004D48D3" w:rsidRDefault="004D48D3" w:rsidP="004D48D3">
                                  <w:pPr>
                                    <w:jc w:val="center"/>
                                    <w:rPr>
                                      <w:sz w:val="16"/>
                                      <w:szCs w:val="16"/>
                                      <w:vertAlign w:val="superscript"/>
                                    </w:rPr>
                                  </w:pPr>
                                  <w:r w:rsidRPr="004D48D3">
                                    <w:rPr>
                                      <w:sz w:val="16"/>
                                      <w:szCs w:val="16"/>
                                    </w:rPr>
                                    <w:t>0.04 cm</w:t>
                                  </w:r>
                                  <w:r w:rsidRPr="004D48D3">
                                    <w:rPr>
                                      <w:sz w:val="16"/>
                                      <w:szCs w:val="16"/>
                                      <w:vertAlign w:val="superscript"/>
                                    </w:rPr>
                                    <w:t>2</w:t>
                                  </w:r>
                                </w:p>
                              </w:tc>
                              <w:tc>
                                <w:tcPr>
                                  <w:tcW w:w="90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30 nA</w:t>
                                  </w:r>
                                </w:p>
                                <w:p w:rsidR="004D48D3" w:rsidRPr="004D48D3" w:rsidRDefault="004D48D3" w:rsidP="004D48D3">
                                  <w:pPr>
                                    <w:jc w:val="center"/>
                                    <w:rPr>
                                      <w:sz w:val="16"/>
                                      <w:szCs w:val="16"/>
                                    </w:rPr>
                                  </w:pPr>
                                  <w:r w:rsidRPr="004D48D3">
                                    <w:rPr>
                                      <w:sz w:val="16"/>
                                      <w:szCs w:val="16"/>
                                    </w:rPr>
                                    <w:t>60 nA</w:t>
                                  </w:r>
                                </w:p>
                              </w:tc>
                              <w:tc>
                                <w:tcPr>
                                  <w:tcW w:w="171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4.7x10</w:t>
                                  </w:r>
                                  <w:r w:rsidRPr="004D48D3">
                                    <w:rPr>
                                      <w:sz w:val="16"/>
                                      <w:szCs w:val="16"/>
                                      <w:vertAlign w:val="superscript"/>
                                    </w:rPr>
                                    <w:t>12</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9.4x10</w:t>
                                  </w:r>
                                  <w:r w:rsidRPr="004D48D3">
                                    <w:rPr>
                                      <w:sz w:val="16"/>
                                      <w:szCs w:val="16"/>
                                      <w:vertAlign w:val="superscript"/>
                                    </w:rPr>
                                    <w:t>12</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iCs/>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c>
                                <w:tcPr>
                                  <w:tcW w:w="117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900" w:type="dxa"/>
                                  <w:tcBorders>
                                    <w:top w:val="nil"/>
                                    <w:left w:val="nil"/>
                                    <w:bottom w:val="nil"/>
                                    <w:right w:val="nil"/>
                                  </w:tcBorders>
                                </w:tcPr>
                                <w:p w:rsidR="004D48D3" w:rsidRPr="004D48D3" w:rsidRDefault="004D48D3" w:rsidP="004D48D3">
                                  <w:pPr>
                                    <w:jc w:val="cente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r w:rsidRPr="004D48D3">
                                    <w:rPr>
                                      <w:iCs/>
                                      <w:sz w:val="16"/>
                                      <w:szCs w:val="16"/>
                                    </w:rPr>
                                    <w:t>Nickel</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Zone Refined Boule</w:t>
                                  </w:r>
                                </w:p>
                                <w:p w:rsidR="004D48D3" w:rsidRPr="004D48D3" w:rsidRDefault="004D48D3" w:rsidP="004D48D3">
                                  <w:pPr>
                                    <w:jc w:val="center"/>
                                    <w:rPr>
                                      <w:sz w:val="16"/>
                                      <w:szCs w:val="16"/>
                                    </w:rPr>
                                  </w:pPr>
                                  <w:r w:rsidRPr="004D48D3">
                                    <w:rPr>
                                      <w:sz w:val="16"/>
                                      <w:szCs w:val="16"/>
                                    </w:rPr>
                                    <w:t>150 mm</w:t>
                                  </w:r>
                                  <w:r w:rsidRPr="004D48D3">
                                    <w:rPr>
                                      <w:sz w:val="16"/>
                                      <w:szCs w:val="16"/>
                                      <w:vertAlign w:val="superscript"/>
                                    </w:rPr>
                                    <w:t>2</w:t>
                                  </w:r>
                                  <w:r w:rsidRPr="004D48D3">
                                    <w:rPr>
                                      <w:sz w:val="16"/>
                                      <w:szCs w:val="16"/>
                                    </w:rPr>
                                    <w:t xml:space="preserve"> x 0.7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0.1 cm</w:t>
                                  </w:r>
                                  <w:r w:rsidRPr="004D48D3">
                                    <w:rPr>
                                      <w:sz w:val="16"/>
                                      <w:szCs w:val="16"/>
                                      <w:vertAlign w:val="superscript"/>
                                    </w:rPr>
                                    <w:t>2</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1 µA</w:t>
                                  </w:r>
                                </w:p>
                                <w:p w:rsidR="004D48D3" w:rsidRPr="004D48D3" w:rsidRDefault="004D48D3" w:rsidP="004D48D3">
                                  <w:pPr>
                                    <w:jc w:val="center"/>
                                    <w:rPr>
                                      <w:sz w:val="16"/>
                                      <w:szCs w:val="16"/>
                                    </w:rPr>
                                  </w:pPr>
                                  <w:r w:rsidRPr="004D48D3">
                                    <w:rPr>
                                      <w:sz w:val="16"/>
                                      <w:szCs w:val="16"/>
                                    </w:rPr>
                                    <w:t>6 µA</w:t>
                                  </w:r>
                                </w:p>
                                <w:p w:rsidR="004D48D3" w:rsidRPr="004D48D3" w:rsidRDefault="004D48D3" w:rsidP="004D48D3">
                                  <w:pPr>
                                    <w:jc w:val="center"/>
                                    <w:rPr>
                                      <w:sz w:val="16"/>
                                      <w:szCs w:val="16"/>
                                    </w:rPr>
                                  </w:pPr>
                                  <w:r w:rsidRPr="004D48D3">
                                    <w:rPr>
                                      <w:sz w:val="16"/>
                                      <w:szCs w:val="16"/>
                                    </w:rPr>
                                    <w:t>8 µA</w:t>
                                  </w:r>
                                </w:p>
                                <w:p w:rsidR="004D48D3" w:rsidRPr="004D48D3" w:rsidRDefault="004D48D3" w:rsidP="004D48D3">
                                  <w:pPr>
                                    <w:jc w:val="center"/>
                                    <w:rPr>
                                      <w:sz w:val="16"/>
                                      <w:szCs w:val="16"/>
                                    </w:rPr>
                                  </w:pPr>
                                  <w:r w:rsidRPr="004D48D3">
                                    <w:rPr>
                                      <w:sz w:val="16"/>
                                      <w:szCs w:val="16"/>
                                    </w:rPr>
                                    <w:t>10 µA</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 xml:space="preserve">13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3.7x10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5.0x10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r w:rsidRPr="004D48D3">
                                    <w:rPr>
                                      <w:sz w:val="16"/>
                                      <w:szCs w:val="16"/>
                                    </w:rPr>
                                    <w:t>Kapton</w:t>
                                  </w:r>
                                  <w:r w:rsidRPr="004D48D3">
                                    <w:rPr>
                                      <w:sz w:val="16"/>
                                      <w:szCs w:val="16"/>
                                      <w:vertAlign w:val="superscript"/>
                                    </w:rPr>
                                    <w:t xml:space="preserve">© </w:t>
                                  </w:r>
                                  <w:r w:rsidRPr="004D48D3">
                                    <w:rPr>
                                      <w:sz w:val="16"/>
                                      <w:szCs w:val="16"/>
                                    </w:rPr>
                                    <w:t>HN</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Film</w:t>
                                  </w:r>
                                </w:p>
                                <w:p w:rsidR="004D48D3" w:rsidRPr="004D48D3" w:rsidRDefault="004D48D3" w:rsidP="004D48D3">
                                  <w:pPr>
                                    <w:jc w:val="center"/>
                                    <w:rPr>
                                      <w:sz w:val="16"/>
                                      <w:szCs w:val="16"/>
                                    </w:rPr>
                                  </w:pPr>
                                  <w:r w:rsidRPr="004D48D3">
                                    <w:rPr>
                                      <w:sz w:val="16"/>
                                      <w:szCs w:val="16"/>
                                    </w:rPr>
                                    <w:t>100 mm</w:t>
                                  </w:r>
                                  <w:r w:rsidRPr="004D48D3">
                                    <w:rPr>
                                      <w:sz w:val="16"/>
                                      <w:szCs w:val="16"/>
                                      <w:vertAlign w:val="superscript"/>
                                    </w:rPr>
                                    <w:t>2</w:t>
                                  </w:r>
                                  <w:r w:rsidRPr="004D48D3">
                                    <w:rPr>
                                      <w:sz w:val="16"/>
                                      <w:szCs w:val="16"/>
                                    </w:rPr>
                                    <w:t xml:space="preserve"> x  0.13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5.5 MeV He</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LANL</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1 cm</w:t>
                                  </w:r>
                                  <w:r w:rsidRPr="004D48D3">
                                    <w:rPr>
                                      <w:sz w:val="16"/>
                                      <w:szCs w:val="16"/>
                                      <w:vertAlign w:val="superscript"/>
                                    </w:rPr>
                                    <w:t xml:space="preserve">2 </w:t>
                                  </w:r>
                                </w:p>
                                <w:p w:rsidR="004D48D3" w:rsidRPr="004D48D3" w:rsidRDefault="004D48D3" w:rsidP="004D48D3">
                                  <w:pPr>
                                    <w:jc w:val="center"/>
                                    <w:rPr>
                                      <w:sz w:val="16"/>
                                      <w:szCs w:val="16"/>
                                    </w:rPr>
                                  </w:pPr>
                                  <w:r w:rsidRPr="004D48D3">
                                    <w:rPr>
                                      <w:sz w:val="16"/>
                                      <w:szCs w:val="16"/>
                                    </w:rPr>
                                    <w:t>(0.09 cm</w:t>
                                  </w:r>
                                  <w:r w:rsidRPr="004D48D3">
                                    <w:rPr>
                                      <w:sz w:val="16"/>
                                      <w:szCs w:val="16"/>
                                      <w:vertAlign w:val="superscript"/>
                                    </w:rPr>
                                    <w:t xml:space="preserve">2 </w:t>
                                  </w:r>
                                  <w:r w:rsidRPr="004D48D3">
                                    <w:rPr>
                                      <w:sz w:val="16"/>
                                      <w:szCs w:val="16"/>
                                    </w:rPr>
                                    <w:t>Beam Spot)</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25 nA</w:t>
                                  </w:r>
                                </w:p>
                              </w:tc>
                              <w:tc>
                                <w:tcPr>
                                  <w:tcW w:w="171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(3) 2.7x10</w:t>
                                  </w:r>
                                  <w:r w:rsidRPr="004D48D3">
                                    <w:rPr>
                                      <w:sz w:val="16"/>
                                      <w:szCs w:val="16"/>
                                      <w:vertAlign w:val="superscript"/>
                                    </w:rPr>
                                    <w:t>13</w:t>
                                  </w:r>
                                  <w:r w:rsidRPr="004D48D3">
                                    <w:rPr>
                                      <w:sz w:val="16"/>
                                      <w:szCs w:val="16"/>
                                    </w:rPr>
                                    <w:t xml:space="preserve"> He</w:t>
                                  </w:r>
                                  <w:r w:rsidRPr="004D48D3">
                                    <w:rPr>
                                      <w:sz w:val="16"/>
                                      <w:szCs w:val="16"/>
                                      <w:vertAlign w:val="superscript"/>
                                    </w:rPr>
                                    <w:t>++</w:t>
                                  </w:r>
                                  <w:r w:rsidRPr="004D48D3">
                                    <w:rPr>
                                      <w:sz w:val="16"/>
                                      <w:szCs w:val="16"/>
                                    </w:rPr>
                                    <w:t>/cm</w:t>
                                  </w:r>
                                  <w:r w:rsidRPr="004D48D3">
                                    <w:rPr>
                                      <w:sz w:val="16"/>
                                      <w:szCs w:val="16"/>
                                      <w:vertAlign w:val="superscript"/>
                                    </w:rPr>
                                    <w:t>2</w:t>
                                  </w: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c>
                                <w:tcPr>
                                  <w:tcW w:w="1170" w:type="dxa"/>
                                  <w:tcBorders>
                                    <w:top w:val="nil"/>
                                    <w:left w:val="nil"/>
                                    <w:bottom w:val="nil"/>
                                    <w:right w:val="nil"/>
                                  </w:tcBorders>
                                </w:tcPr>
                                <w:p w:rsidR="004D48D3" w:rsidRPr="004D48D3" w:rsidRDefault="004D48D3" w:rsidP="004D48D3">
                                  <w:pPr>
                                    <w:jc w:val="center"/>
                                    <w:rPr>
                                      <w:sz w:val="16"/>
                                      <w:szCs w:val="16"/>
                                      <w:vertAlign w:val="superscript"/>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900" w:type="dxa"/>
                                  <w:tcBorders>
                                    <w:top w:val="nil"/>
                                    <w:left w:val="nil"/>
                                    <w:bottom w:val="nil"/>
                                    <w:right w:val="nil"/>
                                  </w:tcBorders>
                                </w:tcPr>
                                <w:p w:rsidR="004D48D3" w:rsidRPr="004D48D3" w:rsidRDefault="004D48D3" w:rsidP="004D48D3">
                                  <w:pPr>
                                    <w:jc w:val="cente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iCs/>
                                      <w:sz w:val="16"/>
                                      <w:szCs w:val="16"/>
                                    </w:rPr>
                                  </w:pPr>
                                  <w:r w:rsidRPr="004D48D3">
                                    <w:rPr>
                                      <w:iCs/>
                                      <w:sz w:val="16"/>
                                      <w:szCs w:val="16"/>
                                    </w:rPr>
                                    <w:t>FeS</w:t>
                                  </w:r>
                                  <w:r w:rsidRPr="004D48D3">
                                    <w:rPr>
                                      <w:iCs/>
                                      <w:sz w:val="16"/>
                                      <w:szCs w:val="16"/>
                                      <w:vertAlign w:val="subscript"/>
                                    </w:rPr>
                                    <w:t>2</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 xml:space="preserve">Irregular Mineral Slab </w:t>
                                  </w:r>
                                </w:p>
                                <w:p w:rsidR="004D48D3" w:rsidRPr="004D48D3" w:rsidRDefault="004D48D3" w:rsidP="004D48D3">
                                  <w:pPr>
                                    <w:jc w:val="center"/>
                                    <w:rPr>
                                      <w:sz w:val="16"/>
                                      <w:szCs w:val="16"/>
                                    </w:rPr>
                                  </w:pPr>
                                  <w:r w:rsidRPr="004D48D3">
                                    <w:rPr>
                                      <w:sz w:val="16"/>
                                      <w:szCs w:val="16"/>
                                    </w:rPr>
                                    <w:t>~ 64 mm</w:t>
                                  </w:r>
                                  <w:r w:rsidRPr="004D48D3">
                                    <w:rPr>
                                      <w:sz w:val="16"/>
                                      <w:szCs w:val="16"/>
                                      <w:vertAlign w:val="superscript"/>
                                    </w:rPr>
                                    <w:t>2</w:t>
                                  </w:r>
                                  <w:r w:rsidRPr="004D48D3">
                                    <w:rPr>
                                      <w:sz w:val="16"/>
                                      <w:szCs w:val="16"/>
                                    </w:rPr>
                                    <w:t xml:space="preserve"> x 2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0.1 cm</w:t>
                                  </w:r>
                                  <w:r w:rsidRPr="004D48D3">
                                    <w:rPr>
                                      <w:sz w:val="16"/>
                                      <w:szCs w:val="16"/>
                                      <w:vertAlign w:val="superscript"/>
                                    </w:rPr>
                                    <w:t>2</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1 µA</w:t>
                                  </w:r>
                                </w:p>
                                <w:p w:rsidR="004D48D3" w:rsidRPr="004D48D3" w:rsidRDefault="004D48D3" w:rsidP="004D48D3">
                                  <w:pPr>
                                    <w:jc w:val="center"/>
                                    <w:rPr>
                                      <w:sz w:val="16"/>
                                      <w:szCs w:val="16"/>
                                    </w:rPr>
                                  </w:pPr>
                                  <w:r w:rsidRPr="004D48D3">
                                    <w:rPr>
                                      <w:sz w:val="16"/>
                                      <w:szCs w:val="16"/>
                                    </w:rPr>
                                    <w:t>1.5 µA</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13</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9.5x10</w:t>
                                  </w:r>
                                  <w:r w:rsidRPr="004D48D3">
                                    <w:rPr>
                                      <w:sz w:val="16"/>
                                      <w:szCs w:val="16"/>
                                      <w:vertAlign w:val="superscript"/>
                                    </w:rPr>
                                    <w:t xml:space="preserve">13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tc>
                            </w:tr>
                            <w:tr w:rsidR="004D48D3" w:rsidRPr="004D48D3" w:rsidTr="005645BB">
                              <w:trPr>
                                <w:trHeight w:val="50"/>
                                <w:jc w:val="center"/>
                              </w:trPr>
                              <w:tc>
                                <w:tcPr>
                                  <w:tcW w:w="900" w:type="dxa"/>
                                  <w:tcBorders>
                                    <w:top w:val="nil"/>
                                    <w:left w:val="nil"/>
                                    <w:bottom w:val="single" w:sz="4" w:space="0" w:color="auto"/>
                                    <w:right w:val="nil"/>
                                  </w:tcBorders>
                                </w:tcPr>
                                <w:p w:rsidR="004D48D3" w:rsidRPr="004D48D3" w:rsidRDefault="004D48D3" w:rsidP="004D48D3">
                                  <w:pPr>
                                    <w:rPr>
                                      <w:i/>
                                      <w:iCs/>
                                      <w:sz w:val="16"/>
                                      <w:szCs w:val="16"/>
                                    </w:rPr>
                                  </w:pPr>
                                </w:p>
                              </w:tc>
                              <w:tc>
                                <w:tcPr>
                                  <w:tcW w:w="171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17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62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620" w:type="dxa"/>
                                  <w:tcBorders>
                                    <w:top w:val="nil"/>
                                    <w:left w:val="nil"/>
                                    <w:bottom w:val="single" w:sz="4" w:space="0" w:color="auto"/>
                                    <w:right w:val="nil"/>
                                  </w:tcBorders>
                                </w:tcPr>
                                <w:p w:rsidR="004D48D3" w:rsidRPr="004D48D3" w:rsidRDefault="004D48D3" w:rsidP="004D48D3">
                                  <w:pPr>
                                    <w:jc w:val="center"/>
                                    <w:rPr>
                                      <w:sz w:val="16"/>
                                      <w:szCs w:val="16"/>
                                    </w:rPr>
                                  </w:pPr>
                                </w:p>
                              </w:tc>
                              <w:tc>
                                <w:tcPr>
                                  <w:tcW w:w="90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710" w:type="dxa"/>
                                  <w:tcBorders>
                                    <w:top w:val="nil"/>
                                    <w:left w:val="nil"/>
                                    <w:bottom w:val="single" w:sz="4" w:space="0" w:color="auto"/>
                                    <w:right w:val="nil"/>
                                  </w:tcBorders>
                                </w:tcPr>
                                <w:p w:rsidR="004D48D3" w:rsidRPr="004D48D3" w:rsidRDefault="004D48D3" w:rsidP="004D48D3">
                                  <w:pPr>
                                    <w:jc w:val="center"/>
                                    <w:rPr>
                                      <w:sz w:val="16"/>
                                      <w:szCs w:val="16"/>
                                    </w:rPr>
                                  </w:pPr>
                                </w:p>
                              </w:tc>
                            </w:tr>
                          </w:tbl>
                          <w:p w:rsidR="004D48D3" w:rsidRDefault="004D48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4.6pt;width:516pt;height:2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SIIgIAAB4EAAAOAAAAZHJzL2Uyb0RvYy54bWysU21v2yAQ/j5p/wHxfXHixU1qxam6dJkm&#10;dS9Sux+AMY7RgGNAYme/fgdO06j7VpUPiOOOh7vnnlvdDFqRg3BegqnobDKlRBgOjTS7iv563H5Y&#10;UuIDMw1TYERFj8LTm/X7d6veliKHDlQjHEEQ48veVrQLwZZZ5nknNPMTsMKgswWnWUDT7bLGsR7R&#10;tcry6fQq68E11gEX3uPt3eik64TftoKHH23rRSCqophbSLtLex33bL1i5c4x20l+SoO9IgvNpMFP&#10;z1B3LDCyd/I/KC25Aw9tmHDQGbSt5CLVgNXMpi+qeeiYFakWJMfbM03+7WD598NPR2RT0Xy2oMQw&#10;jU16FEMgn2AgeeSnt77EsAeLgWHAa+xzqtXbe+C/PTGw6ZjZiVvnoO8EazC/WXyZXTwdcXwEqftv&#10;0OA3bB8gAQ2t05E8pIMgOvbpeO5NTIXj5VVRfMSGU8LRly/zYlGk7mWsfHpunQ9fBGgSDxV12PwE&#10;zw73PsR0WPkUEn/zoGSzlUolw+3qjXLkwFAo27RSBS/ClCF9Ra+LvEjIBuL7pCEtAwpZSV3R5TSu&#10;UVqRjs+mSSGBSTWeMRNlTvxESkZywlAPGBhJq6E5IlMORsHigOGhA/eXkh7FWlH/Z8+coER9Ncj2&#10;9Ww+j+pOxrxY5Gi4S0996WGGI1RFAyXjcRPSREQeDNxiV1qZ+HrO5JQrijDReBqYqPJLO0U9j/X6&#10;HwAAAP//AwBQSwMEFAAGAAgAAAAhAKBRlqfdAAAACAEAAA8AAABkcnMvZG93bnJldi54bWxMj8FO&#10;wzAQRO9I/IO1SFwQdTChoSGbCpCKuLb0AzbxNomI7Sh2m/TvcU/lODurmTfFeja9OPHoO2cRnhYJ&#10;CLa1051tEPY/m8dXED6Q1dQ7ywhn9rAub28KyrWb7JZPu9CIGGJ9TghtCEMupa9bNuQXbmAbvYMb&#10;DYUox0bqkaYYbnqpkmQpDXU2NrQ08GfL9e/uaBAO39PDy2qqvsI+26bLD+qyyp0R7+/m9zcQgedw&#10;fYYLfkSHMjJV7mi1Fz1CHBIQ1EqBuLjJs4qXCiHNUgWyLOT/AeUfAAAA//8DAFBLAQItABQABgAI&#10;AAAAIQC2gziS/gAAAOEBAAATAAAAAAAAAAAAAAAAAAAAAABbQ29udGVudF9UeXBlc10ueG1sUEsB&#10;Ai0AFAAGAAgAAAAhADj9If/WAAAAlAEAAAsAAAAAAAAAAAAAAAAALwEAAF9yZWxzLy5yZWxzUEsB&#10;Ai0AFAAGAAgAAAAhAJxsxIgiAgAAHgQAAA4AAAAAAAAAAAAAAAAALgIAAGRycy9lMm9Eb2MueG1s&#10;UEsBAi0AFAAGAAgAAAAhAKBRlqfdAAAACAEAAA8AAAAAAAAAAAAAAAAAfAQAAGRycy9kb3ducmV2&#10;LnhtbFBLBQYAAAAABAAEAPMAAACGBQAAAAA=&#10;" stroked="f">
                <v:textbox>
                  <w:txbxContent>
                    <w:p w:rsidR="004D48D3" w:rsidRPr="004D48D3" w:rsidRDefault="004D48D3" w:rsidP="004D48D3">
                      <w:pPr>
                        <w:pStyle w:val="Caption"/>
                        <w:keepNext/>
                        <w:rPr>
                          <w:color w:val="auto"/>
                        </w:rPr>
                      </w:pPr>
                      <w:r w:rsidRPr="004D48D3">
                        <w:rPr>
                          <w:color w:val="auto"/>
                        </w:rPr>
                        <w:t xml:space="preserve">Table </w:t>
                      </w:r>
                      <w:r w:rsidRPr="004D48D3">
                        <w:rPr>
                          <w:color w:val="auto"/>
                        </w:rPr>
                        <w:fldChar w:fldCharType="begin"/>
                      </w:r>
                      <w:r w:rsidRPr="004D48D3">
                        <w:rPr>
                          <w:color w:val="auto"/>
                        </w:rPr>
                        <w:instrText xml:space="preserve"> SEQ Table \* ARABIC </w:instrText>
                      </w:r>
                      <w:r w:rsidRPr="004D48D3">
                        <w:rPr>
                          <w:color w:val="auto"/>
                        </w:rPr>
                        <w:fldChar w:fldCharType="separate"/>
                      </w:r>
                      <w:r w:rsidRPr="004D48D3">
                        <w:rPr>
                          <w:noProof/>
                          <w:color w:val="auto"/>
                        </w:rPr>
                        <w:t>1</w:t>
                      </w:r>
                      <w:r w:rsidRPr="004D48D3">
                        <w:rPr>
                          <w:color w:val="auto"/>
                        </w:rPr>
                        <w:fldChar w:fldCharType="end"/>
                      </w:r>
                      <w:r w:rsidRPr="004D48D3">
                        <w:rPr>
                          <w:rFonts w:eastAsiaTheme="minorHAnsi"/>
                          <w:color w:val="auto"/>
                          <w:sz w:val="24"/>
                          <w:szCs w:val="24"/>
                        </w:rPr>
                        <w:t xml:space="preserve"> </w:t>
                      </w:r>
                      <w:r w:rsidRPr="004D48D3">
                        <w:rPr>
                          <w:color w:val="auto"/>
                        </w:rPr>
                        <w:t>Target details and experimental irradiation conditions</w:t>
                      </w:r>
                      <w:r w:rsidR="005645BB">
                        <w:rPr>
                          <w:color w:val="auto"/>
                        </w:rPr>
                        <w:t>.</w:t>
                      </w:r>
                    </w:p>
                    <w:tbl>
                      <w:tblPr>
                        <w:tblW w:w="9630" w:type="dxa"/>
                        <w:jc w:val="center"/>
                        <w:tblBorders>
                          <w:top w:val="single" w:sz="12" w:space="0" w:color="808080"/>
                          <w:bottom w:val="single" w:sz="12" w:space="0" w:color="808080"/>
                        </w:tblBorders>
                        <w:tblLayout w:type="fixed"/>
                        <w:tblLook w:val="0000" w:firstRow="0" w:lastRow="0" w:firstColumn="0" w:lastColumn="0" w:noHBand="0" w:noVBand="0"/>
                      </w:tblPr>
                      <w:tblGrid>
                        <w:gridCol w:w="900"/>
                        <w:gridCol w:w="1710"/>
                        <w:gridCol w:w="1170"/>
                        <w:gridCol w:w="1620"/>
                        <w:gridCol w:w="1620"/>
                        <w:gridCol w:w="900"/>
                        <w:gridCol w:w="1710"/>
                      </w:tblGrid>
                      <w:tr w:rsidR="004D48D3" w:rsidRPr="004D48D3" w:rsidTr="004E6791">
                        <w:trPr>
                          <w:trHeight w:val="440"/>
                          <w:jc w:val="center"/>
                        </w:trPr>
                        <w:tc>
                          <w:tcPr>
                            <w:tcW w:w="900" w:type="dxa"/>
                            <w:tcBorders>
                              <w:top w:val="single" w:sz="4" w:space="0" w:color="auto"/>
                              <w:left w:val="nil"/>
                              <w:bottom w:val="single" w:sz="4" w:space="0" w:color="auto"/>
                              <w:right w:val="nil"/>
                            </w:tcBorders>
                            <w:vAlign w:val="center"/>
                          </w:tcPr>
                          <w:p w:rsidR="004D48D3" w:rsidRPr="004D48D3" w:rsidRDefault="004D48D3" w:rsidP="004D48D3">
                            <w:pPr>
                              <w:rPr>
                                <w:b/>
                                <w:sz w:val="16"/>
                                <w:szCs w:val="16"/>
                              </w:rPr>
                            </w:pPr>
                            <w:r w:rsidRPr="004D48D3">
                              <w:rPr>
                                <w:b/>
                                <w:sz w:val="16"/>
                                <w:szCs w:val="16"/>
                              </w:rPr>
                              <w:t>Material</w:t>
                            </w:r>
                          </w:p>
                        </w:tc>
                        <w:tc>
                          <w:tcPr>
                            <w:tcW w:w="171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Target Geometry</w:t>
                            </w:r>
                          </w:p>
                        </w:tc>
                        <w:tc>
                          <w:tcPr>
                            <w:tcW w:w="117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Ion &amp; Energy</w:t>
                            </w:r>
                          </w:p>
                        </w:tc>
                        <w:tc>
                          <w:tcPr>
                            <w:tcW w:w="162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Facility</w:t>
                            </w:r>
                          </w:p>
                        </w:tc>
                        <w:tc>
                          <w:tcPr>
                            <w:tcW w:w="162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 xml:space="preserve">Irradiation </w:t>
                            </w:r>
                          </w:p>
                          <w:p w:rsidR="004D48D3" w:rsidRPr="004D48D3" w:rsidRDefault="004D48D3" w:rsidP="004D48D3">
                            <w:pPr>
                              <w:jc w:val="center"/>
                              <w:rPr>
                                <w:b/>
                                <w:sz w:val="16"/>
                                <w:szCs w:val="16"/>
                              </w:rPr>
                            </w:pPr>
                            <w:r w:rsidRPr="004D48D3">
                              <w:rPr>
                                <w:b/>
                                <w:sz w:val="16"/>
                                <w:szCs w:val="16"/>
                              </w:rPr>
                              <w:t>Area</w:t>
                            </w:r>
                          </w:p>
                        </w:tc>
                        <w:tc>
                          <w:tcPr>
                            <w:tcW w:w="900" w:type="dxa"/>
                            <w:tcBorders>
                              <w:top w:val="single" w:sz="4" w:space="0" w:color="auto"/>
                              <w:left w:val="nil"/>
                              <w:bottom w:val="single" w:sz="4" w:space="0" w:color="auto"/>
                              <w:right w:val="nil"/>
                            </w:tcBorders>
                          </w:tcPr>
                          <w:p w:rsidR="004D48D3" w:rsidRPr="004D48D3" w:rsidRDefault="004D48D3" w:rsidP="004D48D3">
                            <w:pPr>
                              <w:jc w:val="center"/>
                              <w:rPr>
                                <w:b/>
                                <w:sz w:val="16"/>
                                <w:szCs w:val="16"/>
                              </w:rPr>
                            </w:pPr>
                          </w:p>
                          <w:p w:rsidR="004D48D3" w:rsidRPr="004D48D3" w:rsidRDefault="004D48D3" w:rsidP="004D48D3">
                            <w:pPr>
                              <w:jc w:val="center"/>
                              <w:rPr>
                                <w:b/>
                                <w:sz w:val="16"/>
                                <w:szCs w:val="16"/>
                              </w:rPr>
                            </w:pPr>
                            <w:r w:rsidRPr="004D48D3">
                              <w:rPr>
                                <w:b/>
                                <w:sz w:val="16"/>
                                <w:szCs w:val="16"/>
                              </w:rPr>
                              <w:t xml:space="preserve">Beam </w:t>
                            </w:r>
                          </w:p>
                          <w:p w:rsidR="004D48D3" w:rsidRPr="004D48D3" w:rsidRDefault="004D48D3" w:rsidP="004D48D3">
                            <w:pPr>
                              <w:jc w:val="center"/>
                              <w:rPr>
                                <w:b/>
                                <w:sz w:val="16"/>
                                <w:szCs w:val="16"/>
                              </w:rPr>
                            </w:pPr>
                            <w:r w:rsidRPr="004D48D3">
                              <w:rPr>
                                <w:b/>
                                <w:sz w:val="16"/>
                                <w:szCs w:val="16"/>
                              </w:rPr>
                              <w:t>Current</w:t>
                            </w:r>
                          </w:p>
                        </w:tc>
                        <w:tc>
                          <w:tcPr>
                            <w:tcW w:w="1710" w:type="dxa"/>
                            <w:tcBorders>
                              <w:top w:val="single" w:sz="4" w:space="0" w:color="auto"/>
                              <w:left w:val="nil"/>
                              <w:bottom w:val="single" w:sz="4" w:space="0" w:color="auto"/>
                              <w:right w:val="nil"/>
                            </w:tcBorders>
                            <w:vAlign w:val="center"/>
                          </w:tcPr>
                          <w:p w:rsidR="004D48D3" w:rsidRPr="004D48D3" w:rsidRDefault="004D48D3" w:rsidP="004D48D3">
                            <w:pPr>
                              <w:jc w:val="center"/>
                              <w:rPr>
                                <w:b/>
                                <w:sz w:val="16"/>
                                <w:szCs w:val="16"/>
                              </w:rPr>
                            </w:pPr>
                            <w:r w:rsidRPr="004D48D3">
                              <w:rPr>
                                <w:b/>
                                <w:sz w:val="16"/>
                                <w:szCs w:val="16"/>
                              </w:rPr>
                              <w:t>Flux/Fluence</w:t>
                            </w:r>
                          </w:p>
                        </w:tc>
                      </w:tr>
                      <w:tr w:rsidR="004D48D3" w:rsidRPr="004D48D3" w:rsidTr="004E6791">
                        <w:trPr>
                          <w:jc w:val="center"/>
                        </w:trPr>
                        <w:tc>
                          <w:tcPr>
                            <w:tcW w:w="900" w:type="dxa"/>
                            <w:tcBorders>
                              <w:top w:val="single" w:sz="4" w:space="0" w:color="auto"/>
                              <w:left w:val="nil"/>
                              <w:bottom w:val="nil"/>
                              <w:right w:val="nil"/>
                            </w:tcBorders>
                          </w:tcPr>
                          <w:p w:rsidR="004E6791" w:rsidRDefault="004E6791" w:rsidP="004D48D3">
                            <w:pPr>
                              <w:rPr>
                                <w:iCs/>
                                <w:sz w:val="16"/>
                                <w:szCs w:val="16"/>
                              </w:rPr>
                            </w:pPr>
                          </w:p>
                          <w:p w:rsidR="004D48D3" w:rsidRPr="004D48D3" w:rsidRDefault="004D48D3" w:rsidP="004D48D3">
                            <w:pPr>
                              <w:rPr>
                                <w:sz w:val="16"/>
                                <w:szCs w:val="16"/>
                              </w:rPr>
                            </w:pPr>
                            <w:r w:rsidRPr="004D48D3">
                              <w:rPr>
                                <w:iCs/>
                                <w:sz w:val="16"/>
                                <w:szCs w:val="16"/>
                              </w:rPr>
                              <w:t>Portland Cement</w:t>
                            </w:r>
                          </w:p>
                        </w:tc>
                        <w:tc>
                          <w:tcPr>
                            <w:tcW w:w="1710" w:type="dxa"/>
                            <w:tcBorders>
                              <w:top w:val="single" w:sz="4" w:space="0" w:color="auto"/>
                              <w:left w:val="nil"/>
                              <w:bottom w:val="nil"/>
                              <w:right w:val="nil"/>
                            </w:tcBorders>
                          </w:tcPr>
                          <w:p w:rsidR="004E6791" w:rsidRDefault="004E6791" w:rsidP="004D48D3">
                            <w:pPr>
                              <w:jc w:val="center"/>
                              <w:rPr>
                                <w:sz w:val="16"/>
                                <w:szCs w:val="16"/>
                              </w:rPr>
                            </w:pPr>
                          </w:p>
                          <w:p w:rsidR="004D48D3" w:rsidRPr="004D48D3" w:rsidRDefault="004D48D3" w:rsidP="004D48D3">
                            <w:pPr>
                              <w:jc w:val="center"/>
                              <w:rPr>
                                <w:sz w:val="16"/>
                                <w:szCs w:val="16"/>
                              </w:rPr>
                            </w:pPr>
                            <w:r w:rsidRPr="004D48D3">
                              <w:rPr>
                                <w:sz w:val="16"/>
                                <w:szCs w:val="16"/>
                              </w:rPr>
                              <w:t xml:space="preserve">Polished Slab </w:t>
                            </w:r>
                          </w:p>
                          <w:p w:rsidR="004D48D3" w:rsidRPr="004D48D3" w:rsidRDefault="004D48D3" w:rsidP="004D48D3">
                            <w:pPr>
                              <w:jc w:val="center"/>
                              <w:rPr>
                                <w:sz w:val="16"/>
                                <w:szCs w:val="16"/>
                              </w:rPr>
                            </w:pPr>
                            <w:r w:rsidRPr="004D48D3">
                              <w:rPr>
                                <w:sz w:val="16"/>
                                <w:szCs w:val="16"/>
                              </w:rPr>
                              <w:t>48 mm</w:t>
                            </w:r>
                            <w:r w:rsidRPr="004D48D3">
                              <w:rPr>
                                <w:sz w:val="16"/>
                                <w:szCs w:val="16"/>
                                <w:vertAlign w:val="superscript"/>
                              </w:rPr>
                              <w:t>2</w:t>
                            </w:r>
                            <w:r w:rsidRPr="004D48D3">
                              <w:rPr>
                                <w:sz w:val="16"/>
                                <w:szCs w:val="16"/>
                              </w:rPr>
                              <w:t xml:space="preserve"> x 4 mm thick</w:t>
                            </w:r>
                          </w:p>
                        </w:tc>
                        <w:tc>
                          <w:tcPr>
                            <w:tcW w:w="117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single" w:sz="4" w:space="0" w:color="auto"/>
                              <w:left w:val="nil"/>
                              <w:bottom w:val="nil"/>
                              <w:right w:val="nil"/>
                            </w:tcBorders>
                          </w:tcPr>
                          <w:p w:rsidR="004D48D3" w:rsidRPr="004D48D3" w:rsidRDefault="004D48D3" w:rsidP="004D48D3">
                            <w:pPr>
                              <w:jc w:val="center"/>
                              <w:rPr>
                                <w:sz w:val="16"/>
                                <w:szCs w:val="16"/>
                                <w:vertAlign w:val="superscript"/>
                              </w:rPr>
                            </w:pPr>
                            <w:r w:rsidRPr="004D48D3">
                              <w:rPr>
                                <w:sz w:val="16"/>
                                <w:szCs w:val="16"/>
                              </w:rPr>
                              <w:t>0.04 cm</w:t>
                            </w:r>
                            <w:r w:rsidRPr="004D48D3">
                              <w:rPr>
                                <w:sz w:val="16"/>
                                <w:szCs w:val="16"/>
                                <w:vertAlign w:val="superscript"/>
                              </w:rPr>
                              <w:t>2</w:t>
                            </w:r>
                          </w:p>
                        </w:tc>
                        <w:tc>
                          <w:tcPr>
                            <w:tcW w:w="90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30 nA</w:t>
                            </w:r>
                          </w:p>
                          <w:p w:rsidR="004D48D3" w:rsidRPr="004D48D3" w:rsidRDefault="004D48D3" w:rsidP="004D48D3">
                            <w:pPr>
                              <w:jc w:val="center"/>
                              <w:rPr>
                                <w:sz w:val="16"/>
                                <w:szCs w:val="16"/>
                              </w:rPr>
                            </w:pPr>
                            <w:r w:rsidRPr="004D48D3">
                              <w:rPr>
                                <w:sz w:val="16"/>
                                <w:szCs w:val="16"/>
                              </w:rPr>
                              <w:t>60 nA</w:t>
                            </w:r>
                          </w:p>
                        </w:tc>
                        <w:tc>
                          <w:tcPr>
                            <w:tcW w:w="1710" w:type="dxa"/>
                            <w:tcBorders>
                              <w:top w:val="single" w:sz="4" w:space="0" w:color="auto"/>
                              <w:left w:val="nil"/>
                              <w:bottom w:val="nil"/>
                              <w:right w:val="nil"/>
                            </w:tcBorders>
                          </w:tcPr>
                          <w:p w:rsidR="004D48D3" w:rsidRPr="004D48D3" w:rsidRDefault="004D48D3" w:rsidP="004D48D3">
                            <w:pPr>
                              <w:jc w:val="center"/>
                              <w:rPr>
                                <w:sz w:val="16"/>
                                <w:szCs w:val="16"/>
                              </w:rPr>
                            </w:pPr>
                            <w:r w:rsidRPr="004D48D3">
                              <w:rPr>
                                <w:sz w:val="16"/>
                                <w:szCs w:val="16"/>
                              </w:rPr>
                              <w:t>4.7x10</w:t>
                            </w:r>
                            <w:r w:rsidRPr="004D48D3">
                              <w:rPr>
                                <w:sz w:val="16"/>
                                <w:szCs w:val="16"/>
                                <w:vertAlign w:val="superscript"/>
                              </w:rPr>
                              <w:t>12</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9.4x10</w:t>
                            </w:r>
                            <w:r w:rsidRPr="004D48D3">
                              <w:rPr>
                                <w:sz w:val="16"/>
                                <w:szCs w:val="16"/>
                                <w:vertAlign w:val="superscript"/>
                              </w:rPr>
                              <w:t>12</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iCs/>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c>
                          <w:tcPr>
                            <w:tcW w:w="117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900" w:type="dxa"/>
                            <w:tcBorders>
                              <w:top w:val="nil"/>
                              <w:left w:val="nil"/>
                              <w:bottom w:val="nil"/>
                              <w:right w:val="nil"/>
                            </w:tcBorders>
                          </w:tcPr>
                          <w:p w:rsidR="004D48D3" w:rsidRPr="004D48D3" w:rsidRDefault="004D48D3" w:rsidP="004D48D3">
                            <w:pPr>
                              <w:jc w:val="cente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r w:rsidRPr="004D48D3">
                              <w:rPr>
                                <w:iCs/>
                                <w:sz w:val="16"/>
                                <w:szCs w:val="16"/>
                              </w:rPr>
                              <w:t>Nickel</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Zone Refined Boule</w:t>
                            </w:r>
                          </w:p>
                          <w:p w:rsidR="004D48D3" w:rsidRPr="004D48D3" w:rsidRDefault="004D48D3" w:rsidP="004D48D3">
                            <w:pPr>
                              <w:jc w:val="center"/>
                              <w:rPr>
                                <w:sz w:val="16"/>
                                <w:szCs w:val="16"/>
                              </w:rPr>
                            </w:pPr>
                            <w:r w:rsidRPr="004D48D3">
                              <w:rPr>
                                <w:sz w:val="16"/>
                                <w:szCs w:val="16"/>
                              </w:rPr>
                              <w:t>150 mm</w:t>
                            </w:r>
                            <w:r w:rsidRPr="004D48D3">
                              <w:rPr>
                                <w:sz w:val="16"/>
                                <w:szCs w:val="16"/>
                                <w:vertAlign w:val="superscript"/>
                              </w:rPr>
                              <w:t>2</w:t>
                            </w:r>
                            <w:r w:rsidRPr="004D48D3">
                              <w:rPr>
                                <w:sz w:val="16"/>
                                <w:szCs w:val="16"/>
                              </w:rPr>
                              <w:t xml:space="preserve"> x 0.7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0.1 cm</w:t>
                            </w:r>
                            <w:r w:rsidRPr="004D48D3">
                              <w:rPr>
                                <w:sz w:val="16"/>
                                <w:szCs w:val="16"/>
                                <w:vertAlign w:val="superscript"/>
                              </w:rPr>
                              <w:t>2</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1 µA</w:t>
                            </w:r>
                          </w:p>
                          <w:p w:rsidR="004D48D3" w:rsidRPr="004D48D3" w:rsidRDefault="004D48D3" w:rsidP="004D48D3">
                            <w:pPr>
                              <w:jc w:val="center"/>
                              <w:rPr>
                                <w:sz w:val="16"/>
                                <w:szCs w:val="16"/>
                              </w:rPr>
                            </w:pPr>
                            <w:r w:rsidRPr="004D48D3">
                              <w:rPr>
                                <w:sz w:val="16"/>
                                <w:szCs w:val="16"/>
                              </w:rPr>
                              <w:t>6 µA</w:t>
                            </w:r>
                          </w:p>
                          <w:p w:rsidR="004D48D3" w:rsidRPr="004D48D3" w:rsidRDefault="004D48D3" w:rsidP="004D48D3">
                            <w:pPr>
                              <w:jc w:val="center"/>
                              <w:rPr>
                                <w:sz w:val="16"/>
                                <w:szCs w:val="16"/>
                              </w:rPr>
                            </w:pPr>
                            <w:r w:rsidRPr="004D48D3">
                              <w:rPr>
                                <w:sz w:val="16"/>
                                <w:szCs w:val="16"/>
                              </w:rPr>
                              <w:t>8 µA</w:t>
                            </w:r>
                          </w:p>
                          <w:p w:rsidR="004D48D3" w:rsidRPr="004D48D3" w:rsidRDefault="004D48D3" w:rsidP="004D48D3">
                            <w:pPr>
                              <w:jc w:val="center"/>
                              <w:rPr>
                                <w:sz w:val="16"/>
                                <w:szCs w:val="16"/>
                              </w:rPr>
                            </w:pPr>
                            <w:r w:rsidRPr="004D48D3">
                              <w:rPr>
                                <w:sz w:val="16"/>
                                <w:szCs w:val="16"/>
                              </w:rPr>
                              <w:t>10 µA</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 xml:space="preserve">13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3.7x10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5.0x10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 xml:space="preserve">14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r w:rsidRPr="004D48D3">
                              <w:rPr>
                                <w:sz w:val="16"/>
                                <w:szCs w:val="16"/>
                              </w:rPr>
                              <w:t>Kapton</w:t>
                            </w:r>
                            <w:r w:rsidRPr="004D48D3">
                              <w:rPr>
                                <w:sz w:val="16"/>
                                <w:szCs w:val="16"/>
                                <w:vertAlign w:val="superscript"/>
                              </w:rPr>
                              <w:t xml:space="preserve">© </w:t>
                            </w:r>
                            <w:r w:rsidRPr="004D48D3">
                              <w:rPr>
                                <w:sz w:val="16"/>
                                <w:szCs w:val="16"/>
                              </w:rPr>
                              <w:t>HN</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Film</w:t>
                            </w:r>
                          </w:p>
                          <w:p w:rsidR="004D48D3" w:rsidRPr="004D48D3" w:rsidRDefault="004D48D3" w:rsidP="004D48D3">
                            <w:pPr>
                              <w:jc w:val="center"/>
                              <w:rPr>
                                <w:sz w:val="16"/>
                                <w:szCs w:val="16"/>
                              </w:rPr>
                            </w:pPr>
                            <w:r w:rsidRPr="004D48D3">
                              <w:rPr>
                                <w:sz w:val="16"/>
                                <w:szCs w:val="16"/>
                              </w:rPr>
                              <w:t>100 mm</w:t>
                            </w:r>
                            <w:r w:rsidRPr="004D48D3">
                              <w:rPr>
                                <w:sz w:val="16"/>
                                <w:szCs w:val="16"/>
                                <w:vertAlign w:val="superscript"/>
                              </w:rPr>
                              <w:t>2</w:t>
                            </w:r>
                            <w:r w:rsidRPr="004D48D3">
                              <w:rPr>
                                <w:sz w:val="16"/>
                                <w:szCs w:val="16"/>
                              </w:rPr>
                              <w:t xml:space="preserve"> x  0.13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5.5 MeV He</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LANL</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1 cm</w:t>
                            </w:r>
                            <w:r w:rsidRPr="004D48D3">
                              <w:rPr>
                                <w:sz w:val="16"/>
                                <w:szCs w:val="16"/>
                                <w:vertAlign w:val="superscript"/>
                              </w:rPr>
                              <w:t xml:space="preserve">2 </w:t>
                            </w:r>
                          </w:p>
                          <w:p w:rsidR="004D48D3" w:rsidRPr="004D48D3" w:rsidRDefault="004D48D3" w:rsidP="004D48D3">
                            <w:pPr>
                              <w:jc w:val="center"/>
                              <w:rPr>
                                <w:sz w:val="16"/>
                                <w:szCs w:val="16"/>
                              </w:rPr>
                            </w:pPr>
                            <w:r w:rsidRPr="004D48D3">
                              <w:rPr>
                                <w:sz w:val="16"/>
                                <w:szCs w:val="16"/>
                              </w:rPr>
                              <w:t>(0.09 cm</w:t>
                            </w:r>
                            <w:r w:rsidRPr="004D48D3">
                              <w:rPr>
                                <w:sz w:val="16"/>
                                <w:szCs w:val="16"/>
                                <w:vertAlign w:val="superscript"/>
                              </w:rPr>
                              <w:t xml:space="preserve">2 </w:t>
                            </w:r>
                            <w:r w:rsidRPr="004D48D3">
                              <w:rPr>
                                <w:sz w:val="16"/>
                                <w:szCs w:val="16"/>
                              </w:rPr>
                              <w:t>Beam Spot)</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25 nA</w:t>
                            </w:r>
                          </w:p>
                        </w:tc>
                        <w:tc>
                          <w:tcPr>
                            <w:tcW w:w="171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(3) 2.7x10</w:t>
                            </w:r>
                            <w:r w:rsidRPr="004D48D3">
                              <w:rPr>
                                <w:sz w:val="16"/>
                                <w:szCs w:val="16"/>
                                <w:vertAlign w:val="superscript"/>
                              </w:rPr>
                              <w:t>13</w:t>
                            </w:r>
                            <w:r w:rsidRPr="004D48D3">
                              <w:rPr>
                                <w:sz w:val="16"/>
                                <w:szCs w:val="16"/>
                              </w:rPr>
                              <w:t xml:space="preserve"> He</w:t>
                            </w:r>
                            <w:r w:rsidRPr="004D48D3">
                              <w:rPr>
                                <w:sz w:val="16"/>
                                <w:szCs w:val="16"/>
                                <w:vertAlign w:val="superscript"/>
                              </w:rPr>
                              <w:t>++</w:t>
                            </w:r>
                            <w:r w:rsidRPr="004D48D3">
                              <w:rPr>
                                <w:sz w:val="16"/>
                                <w:szCs w:val="16"/>
                              </w:rPr>
                              <w:t>/cm</w:t>
                            </w:r>
                            <w:r w:rsidRPr="004D48D3">
                              <w:rPr>
                                <w:sz w:val="16"/>
                                <w:szCs w:val="16"/>
                                <w:vertAlign w:val="superscript"/>
                              </w:rPr>
                              <w:t>2</w:t>
                            </w: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c>
                          <w:tcPr>
                            <w:tcW w:w="1170" w:type="dxa"/>
                            <w:tcBorders>
                              <w:top w:val="nil"/>
                              <w:left w:val="nil"/>
                              <w:bottom w:val="nil"/>
                              <w:right w:val="nil"/>
                            </w:tcBorders>
                          </w:tcPr>
                          <w:p w:rsidR="004D48D3" w:rsidRPr="004D48D3" w:rsidRDefault="004D48D3" w:rsidP="004D48D3">
                            <w:pPr>
                              <w:jc w:val="center"/>
                              <w:rPr>
                                <w:sz w:val="16"/>
                                <w:szCs w:val="16"/>
                                <w:vertAlign w:val="superscript"/>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1620" w:type="dxa"/>
                            <w:tcBorders>
                              <w:top w:val="nil"/>
                              <w:left w:val="nil"/>
                              <w:bottom w:val="nil"/>
                              <w:right w:val="nil"/>
                            </w:tcBorders>
                          </w:tcPr>
                          <w:p w:rsidR="004D48D3" w:rsidRPr="004D48D3" w:rsidRDefault="004D48D3" w:rsidP="004D48D3">
                            <w:pPr>
                              <w:jc w:val="center"/>
                              <w:rPr>
                                <w:sz w:val="16"/>
                                <w:szCs w:val="16"/>
                              </w:rPr>
                            </w:pPr>
                          </w:p>
                        </w:tc>
                        <w:tc>
                          <w:tcPr>
                            <w:tcW w:w="900" w:type="dxa"/>
                            <w:tcBorders>
                              <w:top w:val="nil"/>
                              <w:left w:val="nil"/>
                              <w:bottom w:val="nil"/>
                              <w:right w:val="nil"/>
                            </w:tcBorders>
                          </w:tcPr>
                          <w:p w:rsidR="004D48D3" w:rsidRPr="004D48D3" w:rsidRDefault="004D48D3" w:rsidP="004D48D3">
                            <w:pPr>
                              <w:jc w:val="center"/>
                              <w:rPr>
                                <w:sz w:val="16"/>
                                <w:szCs w:val="16"/>
                              </w:rPr>
                            </w:pPr>
                          </w:p>
                        </w:tc>
                        <w:tc>
                          <w:tcPr>
                            <w:tcW w:w="1710" w:type="dxa"/>
                            <w:tcBorders>
                              <w:top w:val="nil"/>
                              <w:left w:val="nil"/>
                              <w:bottom w:val="nil"/>
                              <w:right w:val="nil"/>
                            </w:tcBorders>
                          </w:tcPr>
                          <w:p w:rsidR="004D48D3" w:rsidRPr="004D48D3" w:rsidRDefault="004D48D3" w:rsidP="004D48D3">
                            <w:pPr>
                              <w:jc w:val="center"/>
                              <w:rPr>
                                <w:sz w:val="16"/>
                                <w:szCs w:val="16"/>
                              </w:rPr>
                            </w:pPr>
                          </w:p>
                        </w:tc>
                      </w:tr>
                      <w:tr w:rsidR="004D48D3" w:rsidRPr="004D48D3" w:rsidTr="0070018C">
                        <w:trPr>
                          <w:jc w:val="center"/>
                        </w:trPr>
                        <w:tc>
                          <w:tcPr>
                            <w:tcW w:w="900" w:type="dxa"/>
                            <w:tcBorders>
                              <w:top w:val="nil"/>
                              <w:left w:val="nil"/>
                              <w:bottom w:val="nil"/>
                              <w:right w:val="nil"/>
                            </w:tcBorders>
                          </w:tcPr>
                          <w:p w:rsidR="004D48D3" w:rsidRPr="004D48D3" w:rsidRDefault="004D48D3" w:rsidP="004D48D3">
                            <w:pPr>
                              <w:rPr>
                                <w:iCs/>
                                <w:sz w:val="16"/>
                                <w:szCs w:val="16"/>
                              </w:rPr>
                            </w:pPr>
                            <w:r w:rsidRPr="004D48D3">
                              <w:rPr>
                                <w:iCs/>
                                <w:sz w:val="16"/>
                                <w:szCs w:val="16"/>
                              </w:rPr>
                              <w:t>FeS</w:t>
                            </w:r>
                            <w:r w:rsidRPr="004D48D3">
                              <w:rPr>
                                <w:iCs/>
                                <w:sz w:val="16"/>
                                <w:szCs w:val="16"/>
                                <w:vertAlign w:val="subscript"/>
                              </w:rPr>
                              <w:t>2</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 xml:space="preserve">Irregular Mineral Slab </w:t>
                            </w:r>
                          </w:p>
                          <w:p w:rsidR="004D48D3" w:rsidRPr="004D48D3" w:rsidRDefault="004D48D3" w:rsidP="004D48D3">
                            <w:pPr>
                              <w:jc w:val="center"/>
                              <w:rPr>
                                <w:sz w:val="16"/>
                                <w:szCs w:val="16"/>
                              </w:rPr>
                            </w:pPr>
                            <w:r w:rsidRPr="004D48D3">
                              <w:rPr>
                                <w:sz w:val="16"/>
                                <w:szCs w:val="16"/>
                              </w:rPr>
                              <w:t>~ 64 mm</w:t>
                            </w:r>
                            <w:r w:rsidRPr="004D48D3">
                              <w:rPr>
                                <w:sz w:val="16"/>
                                <w:szCs w:val="16"/>
                                <w:vertAlign w:val="superscript"/>
                              </w:rPr>
                              <w:t>2</w:t>
                            </w:r>
                            <w:r w:rsidRPr="004D48D3">
                              <w:rPr>
                                <w:sz w:val="16"/>
                                <w:szCs w:val="16"/>
                              </w:rPr>
                              <w:t xml:space="preserve"> x 2 mm thick</w:t>
                            </w:r>
                          </w:p>
                        </w:tc>
                        <w:tc>
                          <w:tcPr>
                            <w:tcW w:w="117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2 MeV H</w:t>
                            </w:r>
                            <w:r w:rsidRPr="004D48D3">
                              <w:rPr>
                                <w:sz w:val="16"/>
                                <w:szCs w:val="16"/>
                                <w:vertAlign w:val="superscript"/>
                              </w:rPr>
                              <w:t>+</w:t>
                            </w:r>
                          </w:p>
                        </w:tc>
                        <w:tc>
                          <w:tcPr>
                            <w:tcW w:w="162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UW</w:t>
                            </w:r>
                          </w:p>
                        </w:tc>
                        <w:tc>
                          <w:tcPr>
                            <w:tcW w:w="1620" w:type="dxa"/>
                            <w:tcBorders>
                              <w:top w:val="nil"/>
                              <w:left w:val="nil"/>
                              <w:bottom w:val="nil"/>
                              <w:right w:val="nil"/>
                            </w:tcBorders>
                          </w:tcPr>
                          <w:p w:rsidR="004D48D3" w:rsidRPr="004D48D3" w:rsidRDefault="004D48D3" w:rsidP="004D48D3">
                            <w:pPr>
                              <w:jc w:val="center"/>
                              <w:rPr>
                                <w:sz w:val="16"/>
                                <w:szCs w:val="16"/>
                                <w:vertAlign w:val="superscript"/>
                              </w:rPr>
                            </w:pPr>
                            <w:r w:rsidRPr="004D48D3">
                              <w:rPr>
                                <w:sz w:val="16"/>
                                <w:szCs w:val="16"/>
                              </w:rPr>
                              <w:t>0.1 cm</w:t>
                            </w:r>
                            <w:r w:rsidRPr="004D48D3">
                              <w:rPr>
                                <w:sz w:val="16"/>
                                <w:szCs w:val="16"/>
                                <w:vertAlign w:val="superscript"/>
                              </w:rPr>
                              <w:t>2</w:t>
                            </w:r>
                          </w:p>
                        </w:tc>
                        <w:tc>
                          <w:tcPr>
                            <w:tcW w:w="90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1 µA</w:t>
                            </w:r>
                          </w:p>
                          <w:p w:rsidR="004D48D3" w:rsidRPr="004D48D3" w:rsidRDefault="004D48D3" w:rsidP="004D48D3">
                            <w:pPr>
                              <w:jc w:val="center"/>
                              <w:rPr>
                                <w:sz w:val="16"/>
                                <w:szCs w:val="16"/>
                              </w:rPr>
                            </w:pPr>
                            <w:r w:rsidRPr="004D48D3">
                              <w:rPr>
                                <w:sz w:val="16"/>
                                <w:szCs w:val="16"/>
                              </w:rPr>
                              <w:t>1.5 µA</w:t>
                            </w:r>
                          </w:p>
                        </w:tc>
                        <w:tc>
                          <w:tcPr>
                            <w:tcW w:w="1710" w:type="dxa"/>
                            <w:tcBorders>
                              <w:top w:val="nil"/>
                              <w:left w:val="nil"/>
                              <w:bottom w:val="nil"/>
                              <w:right w:val="nil"/>
                            </w:tcBorders>
                          </w:tcPr>
                          <w:p w:rsidR="004D48D3" w:rsidRPr="004D48D3" w:rsidRDefault="004D48D3" w:rsidP="004D48D3">
                            <w:pPr>
                              <w:jc w:val="center"/>
                              <w:rPr>
                                <w:sz w:val="16"/>
                                <w:szCs w:val="16"/>
                              </w:rPr>
                            </w:pPr>
                            <w:r w:rsidRPr="004D48D3">
                              <w:rPr>
                                <w:sz w:val="16"/>
                                <w:szCs w:val="16"/>
                              </w:rPr>
                              <w:t>6.2x10</w:t>
                            </w:r>
                            <w:r w:rsidRPr="004D48D3">
                              <w:rPr>
                                <w:sz w:val="16"/>
                                <w:szCs w:val="16"/>
                                <w:vertAlign w:val="superscript"/>
                              </w:rPr>
                              <w:t>13</w:t>
                            </w:r>
                            <w:r w:rsidRPr="004D48D3">
                              <w:rPr>
                                <w:sz w:val="16"/>
                                <w:szCs w:val="16"/>
                              </w:rPr>
                              <w:t xml:space="preserve"> 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p w:rsidR="004D48D3" w:rsidRPr="004D48D3" w:rsidRDefault="004D48D3" w:rsidP="004D48D3">
                            <w:pPr>
                              <w:jc w:val="center"/>
                              <w:rPr>
                                <w:sz w:val="16"/>
                                <w:szCs w:val="16"/>
                              </w:rPr>
                            </w:pPr>
                            <w:r w:rsidRPr="004D48D3">
                              <w:rPr>
                                <w:sz w:val="16"/>
                                <w:szCs w:val="16"/>
                              </w:rPr>
                              <w:t>9.5x10</w:t>
                            </w:r>
                            <w:r w:rsidRPr="004D48D3">
                              <w:rPr>
                                <w:sz w:val="16"/>
                                <w:szCs w:val="16"/>
                                <w:vertAlign w:val="superscript"/>
                              </w:rPr>
                              <w:t xml:space="preserve">13 </w:t>
                            </w:r>
                            <w:r w:rsidRPr="004D48D3">
                              <w:rPr>
                                <w:sz w:val="16"/>
                                <w:szCs w:val="16"/>
                              </w:rPr>
                              <w:t>H</w:t>
                            </w:r>
                            <w:r w:rsidRPr="004D48D3">
                              <w:rPr>
                                <w:sz w:val="16"/>
                                <w:szCs w:val="16"/>
                                <w:vertAlign w:val="superscript"/>
                              </w:rPr>
                              <w:t>+</w:t>
                            </w:r>
                            <w:r w:rsidRPr="004D48D3">
                              <w:rPr>
                                <w:sz w:val="16"/>
                                <w:szCs w:val="16"/>
                              </w:rPr>
                              <w:t>/cm</w:t>
                            </w:r>
                            <w:r w:rsidRPr="004D48D3">
                              <w:rPr>
                                <w:sz w:val="16"/>
                                <w:szCs w:val="16"/>
                                <w:vertAlign w:val="superscript"/>
                              </w:rPr>
                              <w:t>2</w:t>
                            </w:r>
                            <w:r w:rsidRPr="004D48D3">
                              <w:rPr>
                                <w:sz w:val="16"/>
                                <w:szCs w:val="16"/>
                              </w:rPr>
                              <w:t>-s</w:t>
                            </w:r>
                          </w:p>
                        </w:tc>
                      </w:tr>
                      <w:tr w:rsidR="004D48D3" w:rsidRPr="004D48D3" w:rsidTr="005645BB">
                        <w:trPr>
                          <w:trHeight w:val="50"/>
                          <w:jc w:val="center"/>
                        </w:trPr>
                        <w:tc>
                          <w:tcPr>
                            <w:tcW w:w="900" w:type="dxa"/>
                            <w:tcBorders>
                              <w:top w:val="nil"/>
                              <w:left w:val="nil"/>
                              <w:bottom w:val="single" w:sz="4" w:space="0" w:color="auto"/>
                              <w:right w:val="nil"/>
                            </w:tcBorders>
                          </w:tcPr>
                          <w:p w:rsidR="004D48D3" w:rsidRPr="004D48D3" w:rsidRDefault="004D48D3" w:rsidP="004D48D3">
                            <w:pPr>
                              <w:rPr>
                                <w:i/>
                                <w:iCs/>
                                <w:sz w:val="16"/>
                                <w:szCs w:val="16"/>
                              </w:rPr>
                            </w:pPr>
                          </w:p>
                        </w:tc>
                        <w:tc>
                          <w:tcPr>
                            <w:tcW w:w="171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17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62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620" w:type="dxa"/>
                            <w:tcBorders>
                              <w:top w:val="nil"/>
                              <w:left w:val="nil"/>
                              <w:bottom w:val="single" w:sz="4" w:space="0" w:color="auto"/>
                              <w:right w:val="nil"/>
                            </w:tcBorders>
                          </w:tcPr>
                          <w:p w:rsidR="004D48D3" w:rsidRPr="004D48D3" w:rsidRDefault="004D48D3" w:rsidP="004D48D3">
                            <w:pPr>
                              <w:jc w:val="center"/>
                              <w:rPr>
                                <w:sz w:val="16"/>
                                <w:szCs w:val="16"/>
                              </w:rPr>
                            </w:pPr>
                          </w:p>
                        </w:tc>
                        <w:tc>
                          <w:tcPr>
                            <w:tcW w:w="900" w:type="dxa"/>
                            <w:tcBorders>
                              <w:top w:val="nil"/>
                              <w:left w:val="nil"/>
                              <w:bottom w:val="single" w:sz="4" w:space="0" w:color="auto"/>
                              <w:right w:val="nil"/>
                            </w:tcBorders>
                          </w:tcPr>
                          <w:p w:rsidR="004D48D3" w:rsidRPr="004D48D3" w:rsidRDefault="004D48D3" w:rsidP="004D48D3">
                            <w:pPr>
                              <w:jc w:val="center"/>
                              <w:rPr>
                                <w:sz w:val="16"/>
                                <w:szCs w:val="16"/>
                              </w:rPr>
                            </w:pPr>
                          </w:p>
                        </w:tc>
                        <w:tc>
                          <w:tcPr>
                            <w:tcW w:w="1710" w:type="dxa"/>
                            <w:tcBorders>
                              <w:top w:val="nil"/>
                              <w:left w:val="nil"/>
                              <w:bottom w:val="single" w:sz="4" w:space="0" w:color="auto"/>
                              <w:right w:val="nil"/>
                            </w:tcBorders>
                          </w:tcPr>
                          <w:p w:rsidR="004D48D3" w:rsidRPr="004D48D3" w:rsidRDefault="004D48D3" w:rsidP="004D48D3">
                            <w:pPr>
                              <w:jc w:val="center"/>
                              <w:rPr>
                                <w:sz w:val="16"/>
                                <w:szCs w:val="16"/>
                              </w:rPr>
                            </w:pPr>
                          </w:p>
                        </w:tc>
                      </w:tr>
                    </w:tbl>
                    <w:p w:rsidR="004D48D3" w:rsidRDefault="004D48D3"/>
                  </w:txbxContent>
                </v:textbox>
                <w10:wrap type="square" anchorx="margin"/>
              </v:shape>
            </w:pict>
          </mc:Fallback>
        </mc:AlternateContent>
      </w:r>
      <w:r w:rsidR="00EA2567" w:rsidRPr="00EA2567">
        <w:rPr>
          <w:sz w:val="24"/>
          <w:szCs w:val="24"/>
        </w:rPr>
        <w:t>employed in this study include scanning electron microscopy (SEM) and Energy Dispersive X-ray Spectroscopy (EDXS) on the sulfide mineral using a Phenom Pro-X SEM, and Thermal Gravimetric Analysis (TGA) on the cement using a TA Instruments Q500.   Experimental irradiation conditions are summarized in Table 1.</w:t>
      </w:r>
    </w:p>
    <w:p w:rsidR="00BC796B" w:rsidRPr="00EA2567" w:rsidRDefault="00BC796B" w:rsidP="00BC796B">
      <w:pPr>
        <w:jc w:val="both"/>
        <w:rPr>
          <w:sz w:val="24"/>
          <w:szCs w:val="24"/>
        </w:rPr>
      </w:pPr>
    </w:p>
    <w:p w:rsidR="00EA2567" w:rsidRPr="00EA2567" w:rsidRDefault="00EA2567" w:rsidP="009E0FD6">
      <w:pPr>
        <w:pStyle w:val="Heading1"/>
      </w:pPr>
      <w:r w:rsidRPr="00EA2567">
        <w:t>RESULTS and DISCUSSION</w:t>
      </w:r>
    </w:p>
    <w:p w:rsidR="00EA2567" w:rsidRPr="009E0FD6" w:rsidRDefault="00116BC8" w:rsidP="00116BC8">
      <w:pPr>
        <w:pStyle w:val="Heading2"/>
        <w:numPr>
          <w:ilvl w:val="0"/>
          <w:numId w:val="0"/>
        </w:numPr>
      </w:pPr>
      <w:r>
        <w:t xml:space="preserve">III.a </w:t>
      </w:r>
      <w:r w:rsidR="00EA2567" w:rsidRPr="009E0FD6">
        <w:t xml:space="preserve">Cement Example    </w:t>
      </w:r>
    </w:p>
    <w:p w:rsidR="00EA2567" w:rsidRPr="00EA2567" w:rsidRDefault="00EA2567" w:rsidP="00BC796B">
      <w:pPr>
        <w:ind w:firstLine="360"/>
        <w:jc w:val="both"/>
        <w:rPr>
          <w:sz w:val="24"/>
          <w:szCs w:val="24"/>
        </w:rPr>
      </w:pPr>
      <w:r w:rsidRPr="00EA2567">
        <w:rPr>
          <w:sz w:val="24"/>
          <w:szCs w:val="24"/>
        </w:rPr>
        <w:t>Figure 2 shows an RGA mass scan for microcrystalline cement irradiated with 2 MeV protons using two different ion fluxes.  The initial background pressure of water for the cement is over two orders of magnitude higher than the other materials used in this study.   Figure 2 shows that a flux of 4.7x10</w:t>
      </w:r>
      <w:r w:rsidRPr="00EA2567">
        <w:rPr>
          <w:sz w:val="24"/>
          <w:szCs w:val="24"/>
          <w:vertAlign w:val="superscript"/>
        </w:rPr>
        <w:t xml:space="preserve">12 </w:t>
      </w:r>
      <w:r w:rsidRPr="00EA2567">
        <w:rPr>
          <w:sz w:val="24"/>
          <w:szCs w:val="24"/>
        </w:rPr>
        <w:t>H</w:t>
      </w:r>
      <w:r w:rsidRPr="00EA2567">
        <w:rPr>
          <w:sz w:val="24"/>
          <w:szCs w:val="24"/>
          <w:vertAlign w:val="superscript"/>
        </w:rPr>
        <w:t>+</w:t>
      </w:r>
      <w:r w:rsidRPr="00EA2567">
        <w:rPr>
          <w:sz w:val="24"/>
          <w:szCs w:val="24"/>
        </w:rPr>
        <w:t>/cm</w:t>
      </w:r>
      <w:r w:rsidRPr="00EA2567">
        <w:rPr>
          <w:sz w:val="24"/>
          <w:szCs w:val="24"/>
          <w:vertAlign w:val="superscript"/>
        </w:rPr>
        <w:t>2</w:t>
      </w:r>
      <w:r w:rsidRPr="00EA2567">
        <w:rPr>
          <w:sz w:val="24"/>
          <w:szCs w:val="24"/>
        </w:rPr>
        <w:t>-s was applied at an elapsed time of 15 seconds and stopped after a minute of irradiation.  A second irradiation was performed using a flux of 9.4x10</w:t>
      </w:r>
      <w:r w:rsidRPr="00EA2567">
        <w:rPr>
          <w:sz w:val="24"/>
          <w:szCs w:val="24"/>
          <w:vertAlign w:val="superscript"/>
        </w:rPr>
        <w:t xml:space="preserve">12 </w:t>
      </w:r>
      <w:r w:rsidRPr="00EA2567">
        <w:rPr>
          <w:sz w:val="24"/>
          <w:szCs w:val="24"/>
        </w:rPr>
        <w:t>H</w:t>
      </w:r>
      <w:r w:rsidRPr="00EA2567">
        <w:rPr>
          <w:sz w:val="24"/>
          <w:szCs w:val="24"/>
          <w:vertAlign w:val="superscript"/>
        </w:rPr>
        <w:t>+</w:t>
      </w:r>
      <w:r w:rsidRPr="00EA2567">
        <w:rPr>
          <w:sz w:val="24"/>
          <w:szCs w:val="24"/>
        </w:rPr>
        <w:t>/cm</w:t>
      </w:r>
      <w:r w:rsidRPr="00EA2567">
        <w:rPr>
          <w:sz w:val="24"/>
          <w:szCs w:val="24"/>
          <w:vertAlign w:val="superscript"/>
        </w:rPr>
        <w:t>2</w:t>
      </w:r>
      <w:r w:rsidRPr="00EA2567">
        <w:rPr>
          <w:sz w:val="24"/>
          <w:szCs w:val="24"/>
        </w:rPr>
        <w:t>-s and started at an elapsed time of 120 seconds, and stopped 140 seconds later.  The irradiation was performed over a 0.04 cm</w:t>
      </w:r>
      <w:r w:rsidRPr="00EA2567">
        <w:rPr>
          <w:sz w:val="24"/>
          <w:szCs w:val="24"/>
          <w:vertAlign w:val="superscript"/>
        </w:rPr>
        <w:t>2</w:t>
      </w:r>
      <w:r w:rsidRPr="00EA2567">
        <w:rPr>
          <w:sz w:val="24"/>
          <w:szCs w:val="24"/>
        </w:rPr>
        <w:t xml:space="preserve"> area with respective beam currents of 30 and 60 nA.  </w:t>
      </w:r>
    </w:p>
    <w:p w:rsidR="00EA2567" w:rsidRPr="00EA2567" w:rsidRDefault="00EA2567" w:rsidP="00BC796B">
      <w:pPr>
        <w:ind w:firstLine="720"/>
        <w:jc w:val="both"/>
        <w:rPr>
          <w:sz w:val="24"/>
          <w:szCs w:val="24"/>
        </w:rPr>
      </w:pPr>
      <w:r w:rsidRPr="00EA2567">
        <w:rPr>
          <w:sz w:val="24"/>
          <w:szCs w:val="24"/>
        </w:rPr>
        <w:t xml:space="preserve">A considerable difference in water loss is evident between the two flux values.  Understanding and limiting water loss should be critical in performing accelerated aging studies in cement.  Both radiolysis and heating effects during irradiation may result in water loss and subsequent mechanical property degradation of concrete structures </w:t>
      </w:r>
      <w:r w:rsidRPr="00EA2567">
        <w:rPr>
          <w:sz w:val="24"/>
          <w:szCs w:val="24"/>
        </w:rPr>
        <w:fldChar w:fldCharType="begin"/>
      </w:r>
      <w:r w:rsidRPr="00EA2567">
        <w:rPr>
          <w:sz w:val="24"/>
          <w:szCs w:val="24"/>
        </w:rPr>
        <w:instrText xml:space="preserve"> ADDIN EN.CITE &lt;EndNote&gt;&lt;Cite&gt;&lt;Author&gt;Le Pape&lt;/Author&gt;&lt;Year&gt;2015&lt;/Year&gt;&lt;RecNum&gt;118&lt;/RecNum&gt;&lt;DisplayText&gt;(Field et al., 2015; Le Pape et al., 2015)&lt;/DisplayText&gt;&lt;record&gt;&lt;rec-number&gt;118&lt;/rec-number&gt;&lt;foreign-keys&gt;&lt;key app="EN" db-id="2ddz0wwset2fe1ed2d6v90xi020eppw5p00w" timestamp="1506940096"&gt;118&lt;/key&gt;&lt;/foreign-keys&gt;&lt;ref-type name="Journal Article"&gt;17&lt;/ref-type&gt;&lt;contributors&gt;&lt;authors&gt;&lt;author&gt;Le Pape, Yann&lt;/author&gt;&lt;author&gt;Field, Kevin G&lt;/author&gt;&lt;author&gt;Remec, Igor&lt;/author&gt;&lt;/authors&gt;&lt;/contributors&gt;&lt;titles&gt;&lt;title&gt;Radiation effects in concrete for nuclear power plants, Part II: Perspective from micromechanical modeling&lt;/title&gt;&lt;secondary-title&gt;Nuclear Engineering and Design&lt;/secondary-title&gt;&lt;/titles&gt;&lt;periodical&gt;&lt;full-title&gt;Nuclear Engineering and Design&lt;/full-title&gt;&lt;/periodical&gt;&lt;pages&gt;144-157&lt;/pages&gt;&lt;volume&gt;282&lt;/volume&gt;&lt;dates&gt;&lt;year&gt;2015&lt;/year&gt;&lt;/dates&gt;&lt;isbn&gt;0029-5493&lt;/isbn&gt;&lt;urls&gt;&lt;/urls&gt;&lt;/record&gt;&lt;/Cite&gt;&lt;Cite&gt;&lt;Author&gt;Field&lt;/Author&gt;&lt;Year&gt;2015&lt;/Year&gt;&lt;RecNum&gt;119&lt;/RecNum&gt;&lt;record&gt;&lt;rec-number&gt;119&lt;/rec-number&gt;&lt;foreign-keys&gt;&lt;key app="EN" db-id="2ddz0wwset2fe1ed2d6v90xi020eppw5p00w" timestamp="1506940111"&gt;119&lt;/key&gt;&lt;/foreign-keys&gt;&lt;ref-type name="Journal Article"&gt;17&lt;/ref-type&gt;&lt;contributors&gt;&lt;authors&gt;&lt;author&gt;Field, Kevin G&lt;/author&gt;&lt;author&gt;Remec, I&lt;/author&gt;&lt;author&gt;Le Pape, Y&lt;/author&gt;&lt;/authors&gt;&lt;/contributors&gt;&lt;titles&gt;&lt;title&gt;Radiation effects in concrete for nuclear power plants–Part I: Quantification of radiation exposure and radiation effects&lt;/title&gt;&lt;secondary-title&gt;Nuclear Engineering and Design&lt;/secondary-title&gt;&lt;/titles&gt;&lt;periodical&gt;&lt;full-title&gt;Nuclear Engineering and Design&lt;/full-title&gt;&lt;/periodical&gt;&lt;pages&gt;126-143&lt;/pages&gt;&lt;volume&gt;282&lt;/volume&gt;&lt;dates&gt;&lt;year&gt;2015&lt;/year&gt;&lt;/dates&gt;&lt;isbn&gt;0029-5493&lt;/isbn&gt;&lt;urls&gt;&lt;/urls&gt;&lt;/record&gt;&lt;/Cite&gt;&lt;/EndNote&gt;</w:instrText>
      </w:r>
      <w:r w:rsidRPr="00EA2567">
        <w:rPr>
          <w:sz w:val="24"/>
          <w:szCs w:val="24"/>
        </w:rPr>
        <w:fldChar w:fldCharType="separate"/>
      </w:r>
      <w:r w:rsidRPr="00EA2567">
        <w:rPr>
          <w:noProof/>
          <w:sz w:val="24"/>
          <w:szCs w:val="24"/>
        </w:rPr>
        <w:t>(Field et al., 2015; Le Pape et al., 2015)</w:t>
      </w:r>
      <w:r w:rsidRPr="00EA2567">
        <w:rPr>
          <w:sz w:val="24"/>
          <w:szCs w:val="24"/>
        </w:rPr>
        <w:fldChar w:fldCharType="end"/>
      </w:r>
      <w:r w:rsidRPr="00EA2567">
        <w:rPr>
          <w:sz w:val="24"/>
          <w:szCs w:val="24"/>
        </w:rPr>
        <w:t xml:space="preserve">.  </w:t>
      </w:r>
    </w:p>
    <w:tbl>
      <w:tblPr>
        <w:tblStyle w:val="TableGrid"/>
        <w:tblpPr w:leftFromText="180" w:rightFromText="180" w:vertAnchor="text" w:horzAnchor="margin" w:tblpXSpec="right" w:tblpY="3778"/>
        <w:tblW w:w="0" w:type="auto"/>
        <w:tblLook w:val="04A0" w:firstRow="1" w:lastRow="0" w:firstColumn="1" w:lastColumn="0" w:noHBand="0" w:noVBand="1"/>
      </w:tblPr>
      <w:tblGrid>
        <w:gridCol w:w="5030"/>
      </w:tblGrid>
      <w:tr w:rsidR="005645BB" w:rsidRPr="005645BB" w:rsidTr="005645BB">
        <w:tc>
          <w:tcPr>
            <w:tcW w:w="5030" w:type="dxa"/>
            <w:tcBorders>
              <w:top w:val="nil"/>
              <w:left w:val="nil"/>
              <w:bottom w:val="nil"/>
              <w:right w:val="nil"/>
            </w:tcBorders>
          </w:tcPr>
          <w:p w:rsidR="005645BB" w:rsidRPr="005645BB" w:rsidRDefault="005645BB" w:rsidP="005645BB">
            <w:pPr>
              <w:keepNext/>
              <w:jc w:val="both"/>
            </w:pPr>
            <w:r w:rsidRPr="005645BB">
              <w:rPr>
                <w:noProof/>
                <w:sz w:val="24"/>
                <w:szCs w:val="24"/>
              </w:rPr>
              <w:drawing>
                <wp:inline distT="0" distB="0" distL="0" distR="0" wp14:anchorId="13DCE3AE" wp14:editId="1C1735BF">
                  <wp:extent cx="3041650" cy="1966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3753" cy="1993883"/>
                          </a:xfrm>
                          <a:prstGeom prst="rect">
                            <a:avLst/>
                          </a:prstGeom>
                          <a:noFill/>
                        </pic:spPr>
                      </pic:pic>
                    </a:graphicData>
                  </a:graphic>
                </wp:inline>
              </w:drawing>
            </w:r>
          </w:p>
          <w:p w:rsidR="005645BB" w:rsidRPr="005645BB" w:rsidRDefault="005645BB" w:rsidP="005645BB">
            <w:pPr>
              <w:pStyle w:val="Caption"/>
              <w:jc w:val="both"/>
              <w:rPr>
                <w:color w:val="auto"/>
                <w:sz w:val="24"/>
                <w:szCs w:val="24"/>
              </w:rPr>
            </w:pPr>
            <w:r w:rsidRPr="005645BB">
              <w:rPr>
                <w:color w:val="auto"/>
              </w:rPr>
              <w:t xml:space="preserve">Figure </w:t>
            </w:r>
            <w:r w:rsidRPr="005645BB">
              <w:rPr>
                <w:color w:val="auto"/>
              </w:rPr>
              <w:fldChar w:fldCharType="begin"/>
            </w:r>
            <w:r w:rsidRPr="005645BB">
              <w:rPr>
                <w:color w:val="auto"/>
              </w:rPr>
              <w:instrText xml:space="preserve"> SEQ Figure \* ARABIC </w:instrText>
            </w:r>
            <w:r w:rsidRPr="005645BB">
              <w:rPr>
                <w:color w:val="auto"/>
              </w:rPr>
              <w:fldChar w:fldCharType="separate"/>
            </w:r>
            <w:r w:rsidRPr="005645BB">
              <w:rPr>
                <w:noProof/>
                <w:color w:val="auto"/>
              </w:rPr>
              <w:t>2</w:t>
            </w:r>
            <w:r w:rsidRPr="005645BB">
              <w:rPr>
                <w:color w:val="auto"/>
              </w:rPr>
              <w:fldChar w:fldCharType="end"/>
            </w:r>
            <w:r>
              <w:rPr>
                <w:color w:val="auto"/>
              </w:rPr>
              <w:t>.</w:t>
            </w:r>
            <w:r w:rsidRPr="005645BB">
              <w:rPr>
                <w:color w:val="auto"/>
              </w:rPr>
              <w:t xml:space="preserve"> </w:t>
            </w:r>
            <w:r w:rsidRPr="005645BB">
              <w:rPr>
                <w:rFonts w:eastAsiaTheme="minorHAnsi"/>
                <w:i w:val="0"/>
                <w:iCs w:val="0"/>
                <w:color w:val="auto"/>
                <w:sz w:val="24"/>
                <w:szCs w:val="24"/>
              </w:rPr>
              <w:t xml:space="preserve"> </w:t>
            </w:r>
            <w:r w:rsidRPr="005645BB">
              <w:rPr>
                <w:color w:val="auto"/>
              </w:rPr>
              <w:t xml:space="preserve">Water (18 amu) release from microcrystalline Portland cement detailing the effect of beam current on the overall change in partial pressure.   An approximate 5% change in water vapor is detected by the RGA when the slab is irradiated using 30 nA, while a ~70% increase is detected when twice the beam current is used.  </w:t>
            </w:r>
          </w:p>
        </w:tc>
      </w:tr>
    </w:tbl>
    <w:p w:rsidR="00EA2567" w:rsidRPr="00EA2567" w:rsidRDefault="005645BB" w:rsidP="00BC796B">
      <w:pPr>
        <w:ind w:firstLine="720"/>
        <w:jc w:val="both"/>
        <w:rPr>
          <w:sz w:val="24"/>
          <w:szCs w:val="24"/>
        </w:rPr>
      </w:pPr>
      <w:r w:rsidRPr="00EA2567">
        <w:rPr>
          <w:sz w:val="24"/>
          <w:szCs w:val="24"/>
        </w:rPr>
        <w:t xml:space="preserve"> </w:t>
      </w:r>
      <w:r w:rsidR="00EA2567" w:rsidRPr="00EA2567">
        <w:rPr>
          <w:sz w:val="24"/>
          <w:szCs w:val="24"/>
        </w:rPr>
        <w:t>Gas generation in the case of cement via radiolysis is accomplished by the dissociation of water and the subsequent formation of liberated molecular species.  Limited literature exists which describes the radiolysis of cement.   However, a specific concern in these scenarios is the buildup and explosion hazard of H</w:t>
      </w:r>
      <w:r w:rsidR="00EA2567" w:rsidRPr="00EA2567">
        <w:rPr>
          <w:sz w:val="24"/>
          <w:szCs w:val="24"/>
          <w:vertAlign w:val="subscript"/>
        </w:rPr>
        <w:t xml:space="preserve">2 </w:t>
      </w:r>
      <w:r w:rsidR="00EA2567" w:rsidRPr="00EA2567">
        <w:rPr>
          <w:sz w:val="24"/>
          <w:szCs w:val="24"/>
        </w:rPr>
        <w:t xml:space="preserve">gas generated from radioactive materials sealed in cement casks.  Siskind  </w:t>
      </w:r>
      <w:r w:rsidR="00EA2567" w:rsidRPr="00EA2567">
        <w:rPr>
          <w:sz w:val="24"/>
          <w:szCs w:val="24"/>
        </w:rPr>
        <w:fldChar w:fldCharType="begin"/>
      </w:r>
      <w:r w:rsidR="00EA2567" w:rsidRPr="00EA2567">
        <w:rPr>
          <w:sz w:val="24"/>
          <w:szCs w:val="24"/>
        </w:rPr>
        <w:instrText xml:space="preserve"> ADDIN EN.CITE &lt;EndNote&gt;&lt;Cite ExcludeAuth="1"&gt;&lt;Author&gt;Siskind&lt;/Author&gt;&lt;Year&gt;1992&lt;/Year&gt;&lt;RecNum&gt;109&lt;/RecNum&gt;&lt;DisplayText&gt;(1992)&lt;/DisplayText&gt;&lt;record&gt;&lt;rec-number&gt;109&lt;/rec-number&gt;&lt;foreign-keys&gt;&lt;key app="EN" db-id="2ddz0wwset2fe1ed2d6v90xi020eppw5p00w" timestamp="1495062029"&gt;109&lt;/key&gt;&lt;/foreign-keys&gt;&lt;ref-type name="Report"&gt;27&lt;/ref-type&gt;&lt;contributors&gt;&lt;authors&gt;&lt;author&gt;Siskind, B&lt;/author&gt;&lt;/authors&gt;&lt;/contributors&gt;&lt;titles&gt;&lt;title&gt;Gas Generation from Low-Level Waste: Concerns for Disposal&lt;/title&gt;&lt;/titles&gt;&lt;dates&gt;&lt;year&gt;1992&lt;/year&gt;&lt;/dates&gt;&lt;publisher&gt;Report No. BNL-NUREG-47144, Brookhaven National Laboratory&lt;/publisher&gt;&lt;urls&gt;&lt;/urls&gt;&lt;/record&gt;&lt;/Cite&gt;&lt;/EndNote&gt;</w:instrText>
      </w:r>
      <w:r w:rsidR="00EA2567" w:rsidRPr="00EA2567">
        <w:rPr>
          <w:sz w:val="24"/>
          <w:szCs w:val="24"/>
        </w:rPr>
        <w:fldChar w:fldCharType="separate"/>
      </w:r>
      <w:r w:rsidR="00EA2567" w:rsidRPr="00EA2567">
        <w:rPr>
          <w:noProof/>
          <w:sz w:val="24"/>
          <w:szCs w:val="24"/>
        </w:rPr>
        <w:t>(1992)</w:t>
      </w:r>
      <w:r w:rsidR="00EA2567" w:rsidRPr="00EA2567">
        <w:rPr>
          <w:sz w:val="24"/>
          <w:szCs w:val="24"/>
        </w:rPr>
        <w:fldChar w:fldCharType="end"/>
      </w:r>
      <w:r w:rsidR="00EA2567" w:rsidRPr="00EA2567">
        <w:rPr>
          <w:sz w:val="24"/>
          <w:szCs w:val="24"/>
        </w:rPr>
        <w:t xml:space="preserve"> determined that H</w:t>
      </w:r>
      <w:r w:rsidR="00EA2567" w:rsidRPr="00EA2567">
        <w:rPr>
          <w:sz w:val="24"/>
          <w:szCs w:val="24"/>
          <w:vertAlign w:val="subscript"/>
        </w:rPr>
        <w:t xml:space="preserve">2 </w:t>
      </w:r>
      <w:r w:rsidR="00EA2567" w:rsidRPr="00EA2567">
        <w:rPr>
          <w:sz w:val="24"/>
          <w:szCs w:val="24"/>
        </w:rPr>
        <w:t>and H</w:t>
      </w:r>
      <w:r w:rsidR="00EA2567" w:rsidRPr="00EA2567">
        <w:rPr>
          <w:sz w:val="24"/>
          <w:szCs w:val="24"/>
          <w:vertAlign w:val="subscript"/>
        </w:rPr>
        <w:t>2</w:t>
      </w:r>
      <w:r w:rsidR="00EA2567" w:rsidRPr="00EA2567">
        <w:rPr>
          <w:sz w:val="24"/>
          <w:szCs w:val="24"/>
        </w:rPr>
        <w:t xml:space="preserve">O are generated by the radiolysis of trapped pore water in the cement  structure.  Bibler and Orebaugh </w:t>
      </w:r>
      <w:r w:rsidR="00EA2567" w:rsidRPr="00EA2567">
        <w:rPr>
          <w:sz w:val="24"/>
          <w:szCs w:val="24"/>
        </w:rPr>
        <w:fldChar w:fldCharType="begin"/>
      </w:r>
      <w:r w:rsidR="00EA2567" w:rsidRPr="00EA2567">
        <w:rPr>
          <w:sz w:val="24"/>
          <w:szCs w:val="24"/>
        </w:rPr>
        <w:instrText xml:space="preserve"> ADDIN EN.CITE &lt;EndNote&gt;&lt;Cite ExcludeAuth="1"&gt;&lt;Author&gt;Bibler&lt;/Author&gt;&lt;Year&gt;1976&lt;/Year&gt;&lt;RecNum&gt;108&lt;/RecNum&gt;&lt;DisplayText&gt;(1976)&lt;/DisplayText&gt;&lt;record&gt;&lt;rec-number&gt;108&lt;/rec-number&gt;&lt;foreign-keys&gt;&lt;key app="EN" db-id="2ddz0wwset2fe1ed2d6v90xi020eppw5p00w" timestamp="1495061901"&gt;108&lt;/key&gt;&lt;/foreign-keys&gt;&lt;ref-type name="Journal Article"&gt;17&lt;/ref-type&gt;&lt;contributors&gt;&lt;authors&gt;&lt;author&gt;Bibler, Ned E&lt;/author&gt;&lt;author&gt;Orebaugh, Errol G&lt;/author&gt;&lt;/authors&gt;&lt;/contributors&gt;&lt;titles&gt;&lt;title&gt;Iron-catalyzed dissolution of polystyrenesulfonate cation-exchange resin in hydrogen peroxide&lt;/title&gt;&lt;secondary-title&gt;Industrial &amp;amp; Engineering Chemistry Product Research and Development&lt;/secondary-title&gt;&lt;/titles&gt;&lt;periodical&gt;&lt;full-title&gt;Industrial &amp;amp; Engineering Chemistry Product Research and Development&lt;/full-title&gt;&lt;/periodical&gt;&lt;pages&gt;136-138&lt;/pages&gt;&lt;volume&gt;15&lt;/volume&gt;&lt;number&gt;2&lt;/number&gt;&lt;dates&gt;&lt;year&gt;1976&lt;/year&gt;&lt;/dates&gt;&lt;isbn&gt;0196-4321&lt;/isbn&gt;&lt;urls&gt;&lt;/urls&gt;&lt;/record&gt;&lt;/Cite&gt;&lt;/EndNote&gt;</w:instrText>
      </w:r>
      <w:r w:rsidR="00EA2567" w:rsidRPr="00EA2567">
        <w:rPr>
          <w:sz w:val="24"/>
          <w:szCs w:val="24"/>
        </w:rPr>
        <w:fldChar w:fldCharType="separate"/>
      </w:r>
      <w:r w:rsidR="00EA2567" w:rsidRPr="00EA2567">
        <w:rPr>
          <w:noProof/>
          <w:sz w:val="24"/>
          <w:szCs w:val="24"/>
        </w:rPr>
        <w:t>(1976)</w:t>
      </w:r>
      <w:r w:rsidR="00EA2567" w:rsidRPr="00EA2567">
        <w:rPr>
          <w:sz w:val="24"/>
          <w:szCs w:val="24"/>
        </w:rPr>
        <w:fldChar w:fldCharType="end"/>
      </w:r>
      <w:r w:rsidR="00EA2567" w:rsidRPr="00EA2567">
        <w:rPr>
          <w:sz w:val="24"/>
          <w:szCs w:val="24"/>
        </w:rPr>
        <w:t xml:space="preserve"> examined beta particle irradiation in concrete from tritiated water and found that a steady state H</w:t>
      </w:r>
      <w:r w:rsidR="00EA2567" w:rsidRPr="00EA2567">
        <w:rPr>
          <w:sz w:val="24"/>
          <w:szCs w:val="24"/>
          <w:vertAlign w:val="subscript"/>
        </w:rPr>
        <w:t>2</w:t>
      </w:r>
      <w:r w:rsidR="00EA2567" w:rsidRPr="00EA2567">
        <w:rPr>
          <w:sz w:val="24"/>
          <w:szCs w:val="24"/>
        </w:rPr>
        <w:t xml:space="preserve"> production was reached which is directly related to the intensity of irradiation.</w:t>
      </w:r>
    </w:p>
    <w:p w:rsidR="005645BB" w:rsidRDefault="00EA2567" w:rsidP="005645BB">
      <w:pPr>
        <w:keepNext/>
        <w:ind w:firstLine="720"/>
        <w:jc w:val="both"/>
      </w:pPr>
      <w:r w:rsidRPr="00EA2567">
        <w:rPr>
          <w:sz w:val="24"/>
          <w:szCs w:val="24"/>
        </w:rPr>
        <w:t xml:space="preserve">  </w:t>
      </w:r>
    </w:p>
    <w:p w:rsidR="00EA2567" w:rsidRPr="00EA2567" w:rsidRDefault="00EA2567" w:rsidP="00BC796B">
      <w:pPr>
        <w:ind w:firstLine="720"/>
        <w:jc w:val="both"/>
        <w:rPr>
          <w:sz w:val="24"/>
          <w:szCs w:val="24"/>
        </w:rPr>
      </w:pPr>
      <w:r w:rsidRPr="00EA2567">
        <w:rPr>
          <w:sz w:val="24"/>
          <w:szCs w:val="24"/>
        </w:rPr>
        <w:t xml:space="preserve">Common to these studies is the quantification of gas generation though use of the </w:t>
      </w:r>
      <w:r w:rsidRPr="00EA2567">
        <w:rPr>
          <w:i/>
          <w:sz w:val="24"/>
          <w:szCs w:val="24"/>
        </w:rPr>
        <w:t>G value</w:t>
      </w:r>
      <w:r w:rsidRPr="00EA2567">
        <w:rPr>
          <w:sz w:val="24"/>
          <w:szCs w:val="24"/>
        </w:rPr>
        <w:t xml:space="preserve">.  The </w:t>
      </w:r>
      <w:r w:rsidRPr="00EA2567">
        <w:rPr>
          <w:i/>
          <w:sz w:val="24"/>
          <w:szCs w:val="24"/>
        </w:rPr>
        <w:t>G</w:t>
      </w:r>
      <w:r w:rsidRPr="00EA2567">
        <w:rPr>
          <w:sz w:val="24"/>
          <w:szCs w:val="24"/>
        </w:rPr>
        <w:t xml:space="preserve"> </w:t>
      </w:r>
      <w:r w:rsidRPr="00EA2567">
        <w:rPr>
          <w:i/>
          <w:sz w:val="24"/>
          <w:szCs w:val="24"/>
        </w:rPr>
        <w:t>value</w:t>
      </w:r>
      <w:r w:rsidRPr="00EA2567">
        <w:rPr>
          <w:sz w:val="24"/>
          <w:szCs w:val="24"/>
        </w:rPr>
        <w:t xml:space="preserve"> is defined as the number of molecules generated when a substance absorbs 100 eV of energy.  In the above studies, the gasses were confined and measured from a closed system. As only a portion of gasses generated in this study were measured by the RGA, it is not possible to report actual </w:t>
      </w:r>
      <w:r w:rsidRPr="00EA2567">
        <w:rPr>
          <w:i/>
          <w:sz w:val="24"/>
          <w:szCs w:val="24"/>
        </w:rPr>
        <w:t xml:space="preserve">G </w:t>
      </w:r>
      <w:r w:rsidRPr="00EA2567">
        <w:rPr>
          <w:sz w:val="24"/>
          <w:szCs w:val="24"/>
        </w:rPr>
        <w:t xml:space="preserve">values.  </w:t>
      </w:r>
    </w:p>
    <w:p w:rsidR="00EA2567" w:rsidRPr="00EA2567" w:rsidRDefault="00EA2567" w:rsidP="00BC796B">
      <w:pPr>
        <w:ind w:firstLine="720"/>
        <w:contextualSpacing/>
        <w:jc w:val="both"/>
        <w:rPr>
          <w:sz w:val="24"/>
          <w:szCs w:val="24"/>
        </w:rPr>
      </w:pPr>
      <w:r w:rsidRPr="00EA2567">
        <w:rPr>
          <w:sz w:val="24"/>
          <w:szCs w:val="24"/>
        </w:rPr>
        <w:t xml:space="preserve">Water loss can additionally occur during radiation induced heating of the cement.  TGA was used to establish how weight loss in cement varies with increasing temperature.   Figure 3 shows weight loss in Portland cement between 24 and 950 °C as measured with TGA.  Data shows a relatively small decrease in weight occurs between room temperature and 105 °C, which correlates to the loss of adsorbed water.  Beyond 105 °C, weight loss is from the decomposition of chemically bound water from the main hydration product of Portland cement: calcium-silicate-hydrate or C-S-H </w:t>
      </w:r>
      <w:r w:rsidRPr="00EA2567">
        <w:rPr>
          <w:sz w:val="24"/>
          <w:szCs w:val="24"/>
        </w:rPr>
        <w:fldChar w:fldCharType="begin"/>
      </w:r>
      <w:r w:rsidRPr="00EA2567">
        <w:rPr>
          <w:sz w:val="24"/>
          <w:szCs w:val="24"/>
        </w:rPr>
        <w:instrText xml:space="preserve"> ADDIN EN.CITE &lt;EndNote&gt;&lt;Cite&gt;&lt;Author&gt;Bazant&lt;/Author&gt;&lt;Year&gt;1996&lt;/Year&gt;&lt;RecNum&gt;112&lt;/RecNum&gt;&lt;DisplayText&gt;(Bazant and Kaplan, 1996)&lt;/DisplayText&gt;&lt;record&gt;&lt;rec-number&gt;112&lt;/rec-number&gt;&lt;foreign-keys&gt;&lt;key app="EN" db-id="2ddz0wwset2fe1ed2d6v90xi020eppw5p00w" timestamp="1495747207"&gt;112&lt;/key&gt;&lt;/foreign-keys&gt;&lt;ref-type name="Book"&gt;6&lt;/ref-type&gt;&lt;contributors&gt;&lt;authors&gt;&lt;author&gt;Bazant, Zdenek P&lt;/author&gt;&lt;author&gt;Kaplan, Maurice F&lt;/author&gt;&lt;/authors&gt;&lt;/contributors&gt;&lt;titles&gt;&lt;title&gt;Concrete at high temperatures: material properties and mathematical models&lt;/title&gt;&lt;/titles&gt;&lt;dates&gt;&lt;year&gt;1996&lt;/year&gt;&lt;/dates&gt;&lt;publisher&gt;Longman&lt;/publisher&gt;&lt;isbn&gt;0582086264&lt;/isbn&gt;&lt;urls&gt;&lt;/urls&gt;&lt;/record&gt;&lt;/Cite&gt;&lt;/EndNote&gt;</w:instrText>
      </w:r>
      <w:r w:rsidRPr="00EA2567">
        <w:rPr>
          <w:sz w:val="24"/>
          <w:szCs w:val="24"/>
        </w:rPr>
        <w:fldChar w:fldCharType="separate"/>
      </w:r>
      <w:r w:rsidRPr="00EA2567">
        <w:rPr>
          <w:noProof/>
          <w:sz w:val="24"/>
          <w:szCs w:val="24"/>
        </w:rPr>
        <w:t>(Bazant and Kaplan, 1996)</w:t>
      </w:r>
      <w:r w:rsidRPr="00EA2567">
        <w:rPr>
          <w:sz w:val="24"/>
          <w:szCs w:val="24"/>
        </w:rPr>
        <w:fldChar w:fldCharType="end"/>
      </w:r>
      <w:r w:rsidRPr="00EA2567">
        <w:rPr>
          <w:sz w:val="24"/>
          <w:szCs w:val="24"/>
        </w:rPr>
        <w:t xml:space="preserve">.  </w:t>
      </w:r>
    </w:p>
    <w:p w:rsidR="00EA2567" w:rsidRPr="00EA2567" w:rsidRDefault="00EA2567" w:rsidP="00BC796B">
      <w:pPr>
        <w:ind w:firstLine="720"/>
        <w:jc w:val="both"/>
        <w:rPr>
          <w:sz w:val="24"/>
          <w:szCs w:val="24"/>
        </w:rPr>
      </w:pPr>
      <w:r w:rsidRPr="00EA2567">
        <w:rPr>
          <w:sz w:val="24"/>
          <w:szCs w:val="24"/>
        </w:rPr>
        <w:t xml:space="preserve"> It is likely that both ionization and thermal mechanisms maybe responsible for water loss in cement/concrete systems. Discerning the relevant contribution of each mechanism is beyond the scope of this work.  However, limited heating and ionization is expected in the case of neutron radiation damage in a reactor environment.  Therefore, selecting a beam current that minimizes water loss as identified by the RGA may result in data that best reflects conditions required to perform accurate accelerated aging studies in concrete systems.     </w:t>
      </w:r>
    </w:p>
    <w:p w:rsidR="00EA2567" w:rsidRPr="00EA2567" w:rsidRDefault="00EA2567" w:rsidP="00BC796B">
      <w:pPr>
        <w:pStyle w:val="Heading2"/>
        <w:numPr>
          <w:ilvl w:val="0"/>
          <w:numId w:val="0"/>
        </w:numPr>
      </w:pPr>
      <w:r w:rsidRPr="00EA2567">
        <w:t>III.b Metal Example</w:t>
      </w:r>
    </w:p>
    <w:p w:rsidR="00EA2567" w:rsidRPr="00EA2567" w:rsidRDefault="00EA2567" w:rsidP="00BC796B">
      <w:pPr>
        <w:ind w:firstLine="720"/>
        <w:jc w:val="both"/>
        <w:rPr>
          <w:sz w:val="24"/>
          <w:szCs w:val="24"/>
        </w:rPr>
      </w:pPr>
      <w:r w:rsidRPr="00EA2567">
        <w:rPr>
          <w:sz w:val="24"/>
          <w:szCs w:val="24"/>
        </w:rPr>
        <w:t>In contrast to cement, metals can be exposed to significantly higher fluxes of protons before measureable effects can be observed with the RGA.  Figure 4 shows the partial pressures of masses (</w:t>
      </w:r>
      <w:r w:rsidRPr="00EA2567">
        <w:rPr>
          <w:i/>
          <w:sz w:val="24"/>
          <w:szCs w:val="24"/>
        </w:rPr>
        <w:t>q</w:t>
      </w:r>
      <w:r w:rsidRPr="00EA2567">
        <w:rPr>
          <w:sz w:val="24"/>
          <w:szCs w:val="24"/>
        </w:rPr>
        <w:t xml:space="preserve"> equal to 1) 58 and 56 for a zone purified nickel target irradiated with 2 MeV H</w:t>
      </w:r>
      <w:r w:rsidRPr="00EA2567">
        <w:rPr>
          <w:sz w:val="24"/>
          <w:szCs w:val="24"/>
          <w:vertAlign w:val="superscript"/>
        </w:rPr>
        <w:t>+</w:t>
      </w:r>
      <w:r w:rsidRPr="00EA2567">
        <w:rPr>
          <w:sz w:val="24"/>
          <w:szCs w:val="24"/>
        </w:rPr>
        <w:t xml:space="preserve"> ions.  The target was sequentially subjected to fluxes of 6.2x10</w:t>
      </w:r>
      <w:r w:rsidRPr="00EA2567">
        <w:rPr>
          <w:sz w:val="24"/>
          <w:szCs w:val="24"/>
          <w:vertAlign w:val="superscript"/>
        </w:rPr>
        <w:t>13</w:t>
      </w:r>
      <w:r w:rsidRPr="00EA2567">
        <w:rPr>
          <w:sz w:val="24"/>
          <w:szCs w:val="24"/>
        </w:rPr>
        <w:t>, 3.7x10</w:t>
      </w:r>
      <w:r w:rsidRPr="00EA2567">
        <w:rPr>
          <w:sz w:val="24"/>
          <w:szCs w:val="24"/>
          <w:vertAlign w:val="superscript"/>
        </w:rPr>
        <w:t>14</w:t>
      </w:r>
      <w:r w:rsidRPr="00EA2567">
        <w:rPr>
          <w:sz w:val="24"/>
          <w:szCs w:val="24"/>
        </w:rPr>
        <w:t>, 5.0x10</w:t>
      </w:r>
      <w:r w:rsidRPr="00EA2567">
        <w:rPr>
          <w:sz w:val="24"/>
          <w:szCs w:val="24"/>
          <w:vertAlign w:val="superscript"/>
        </w:rPr>
        <w:t>14</w:t>
      </w:r>
      <w:r w:rsidRPr="00EA2567">
        <w:rPr>
          <w:sz w:val="24"/>
          <w:szCs w:val="24"/>
        </w:rPr>
        <w:t>, and 6.2x10</w:t>
      </w:r>
      <w:r w:rsidRPr="00EA2567">
        <w:rPr>
          <w:sz w:val="24"/>
          <w:szCs w:val="24"/>
          <w:vertAlign w:val="superscript"/>
        </w:rPr>
        <w:t>14</w:t>
      </w:r>
      <w:r w:rsidRPr="00EA2567">
        <w:rPr>
          <w:sz w:val="24"/>
          <w:szCs w:val="24"/>
        </w:rPr>
        <w:t xml:space="preserve"> H</w:t>
      </w:r>
      <w:r w:rsidRPr="00EA2567">
        <w:rPr>
          <w:sz w:val="24"/>
          <w:szCs w:val="24"/>
          <w:vertAlign w:val="superscript"/>
        </w:rPr>
        <w:t>+</w:t>
      </w:r>
      <w:r w:rsidRPr="00EA2567">
        <w:rPr>
          <w:sz w:val="24"/>
          <w:szCs w:val="24"/>
        </w:rPr>
        <w:t>/cm</w:t>
      </w:r>
      <w:r w:rsidRPr="00EA2567">
        <w:rPr>
          <w:sz w:val="24"/>
          <w:szCs w:val="24"/>
          <w:vertAlign w:val="superscript"/>
        </w:rPr>
        <w:t>2</w:t>
      </w:r>
      <w:r w:rsidRPr="00EA2567">
        <w:rPr>
          <w:sz w:val="24"/>
          <w:szCs w:val="24"/>
        </w:rPr>
        <w:t>-s at elapsed times of 360, 660, 920, 1030 seconds. Figure 4 shows distinct changes in the mass 56 signal with changing flux, while minimal changes were detected from mass 58.   The fluxes applied are equivalent to a 1, 6, 8, and 10 µA beam over a 0.1 cm</w:t>
      </w:r>
      <w:r w:rsidRPr="00EA2567">
        <w:rPr>
          <w:sz w:val="24"/>
          <w:szCs w:val="24"/>
          <w:vertAlign w:val="superscript"/>
        </w:rPr>
        <w:t>2</w:t>
      </w:r>
      <w:r w:rsidRPr="00EA2567">
        <w:rPr>
          <w:sz w:val="24"/>
          <w:szCs w:val="24"/>
        </w:rPr>
        <w:t xml:space="preserve"> area.  The series of irradiations resulted in over an order of magnitude change in vapor pressure in the mass 56 signal during the course of the experiment. It should be noted that during the irradiation, the target transitioned from spectral emission in the orange to emission in the white. Visible emission in the orange of metals is associated with temperatures of approximately 900°C, while the white is approximately 1200°C.  </w:t>
      </w:r>
    </w:p>
    <w:p w:rsidR="00EA2567" w:rsidRPr="00EA2567" w:rsidRDefault="00EA2567" w:rsidP="00BC796B">
      <w:pPr>
        <w:ind w:firstLine="720"/>
        <w:jc w:val="both"/>
        <w:rPr>
          <w:sz w:val="24"/>
          <w:szCs w:val="24"/>
        </w:rPr>
      </w:pPr>
      <w:r w:rsidRPr="00EA2567">
        <w:rPr>
          <w:sz w:val="24"/>
          <w:szCs w:val="24"/>
        </w:rPr>
        <w:t xml:space="preserve">Thin film techniques for vapor deposition of metallic elements use temperature-pressure curves </w:t>
      </w:r>
      <w:r w:rsidRPr="00EA2567">
        <w:rPr>
          <w:sz w:val="24"/>
          <w:szCs w:val="24"/>
        </w:rPr>
        <w:fldChar w:fldCharType="begin"/>
      </w:r>
      <w:r w:rsidRPr="00EA2567">
        <w:rPr>
          <w:sz w:val="24"/>
          <w:szCs w:val="24"/>
        </w:rPr>
        <w:instrText xml:space="preserve"> ADDIN EN.CITE &lt;EndNote&gt;&lt;Cite&gt;&lt;Author&gt;Honig&lt;/Author&gt;&lt;Year&gt;1969&lt;/Year&gt;&lt;RecNum&gt;83&lt;/RecNum&gt;&lt;DisplayText&gt;(Honig and Kramer, 1969)&lt;/DisplayText&gt;&lt;record&gt;&lt;rec-number&gt;83&lt;/rec-number&gt;&lt;foreign-keys&gt;&lt;key app="EN" db-id="2ddz0wwset2fe1ed2d6v90xi020eppw5p00w" timestamp="1484324546"&gt;83&lt;/key&gt;&lt;/foreign-keys&gt;&lt;ref-type name="Journal Article"&gt;17&lt;/ref-type&gt;&lt;contributors&gt;&lt;authors&gt;&lt;author&gt;Honig, Richard E&lt;/author&gt;&lt;author&gt;Kramer, Dean A&lt;/author&gt;&lt;/authors&gt;&lt;/contributors&gt;&lt;titles&gt;&lt;title&gt;Vapor-pressure data for the solid and liquid elements&lt;/title&gt;&lt;secondary-title&gt;RCA Review&lt;/secondary-title&gt;&lt;/titles&gt;&lt;periodical&gt;&lt;full-title&gt;RCA Review&lt;/full-title&gt;&lt;/periodical&gt;&lt;pages&gt;285-305&lt;/pages&gt;&lt;volume&gt;30&lt;/volume&gt;&lt;dates&gt;&lt;year&gt;1969&lt;/year&gt;&lt;/dates&gt;&lt;urls&gt;&lt;/urls&gt;&lt;/record&gt;&lt;/Cite&gt;&lt;/EndNote&gt;</w:instrText>
      </w:r>
      <w:r w:rsidRPr="00EA2567">
        <w:rPr>
          <w:sz w:val="24"/>
          <w:szCs w:val="24"/>
        </w:rPr>
        <w:fldChar w:fldCharType="separate"/>
      </w:r>
      <w:r w:rsidRPr="00EA2567">
        <w:rPr>
          <w:noProof/>
          <w:sz w:val="24"/>
          <w:szCs w:val="24"/>
        </w:rPr>
        <w:t>(Honig and Kramer, 1969)</w:t>
      </w:r>
      <w:r w:rsidRPr="00EA2567">
        <w:rPr>
          <w:sz w:val="24"/>
          <w:szCs w:val="24"/>
        </w:rPr>
        <w:fldChar w:fldCharType="end"/>
      </w:r>
      <w:r w:rsidRPr="00EA2567">
        <w:rPr>
          <w:sz w:val="24"/>
          <w:szCs w:val="24"/>
        </w:rPr>
        <w:t xml:space="preserve"> to determine optimal conditions for vaporizing metallic targets.  From such curves, it can be determined that the temperature predicted by the color change in nickel would result in a pressure change from ~7x10</w:t>
      </w:r>
      <w:r w:rsidRPr="00EA2567">
        <w:rPr>
          <w:sz w:val="24"/>
          <w:szCs w:val="24"/>
          <w:vertAlign w:val="superscript"/>
        </w:rPr>
        <w:t xml:space="preserve">-8  </w:t>
      </w:r>
      <w:r w:rsidRPr="00EA2567">
        <w:rPr>
          <w:sz w:val="24"/>
          <w:szCs w:val="24"/>
        </w:rPr>
        <w:t>to ~7x10</w:t>
      </w:r>
      <w:r w:rsidRPr="00EA2567">
        <w:rPr>
          <w:sz w:val="24"/>
          <w:szCs w:val="24"/>
          <w:vertAlign w:val="superscript"/>
        </w:rPr>
        <w:t xml:space="preserve">-5 </w:t>
      </w:r>
      <w:r w:rsidRPr="00EA2567">
        <w:rPr>
          <w:sz w:val="24"/>
          <w:szCs w:val="24"/>
        </w:rPr>
        <w:t>Torr for conditions similar to Honig and Kramer (1969).  However, the data from Fig. 4 indicates that minimal detection of evolved nickel vapor (</w:t>
      </w:r>
      <w:r w:rsidRPr="00EA2567">
        <w:rPr>
          <w:i/>
          <w:sz w:val="24"/>
          <w:szCs w:val="24"/>
        </w:rPr>
        <w:t>m/q</w:t>
      </w:r>
      <w:r w:rsidRPr="00EA2567">
        <w:rPr>
          <w:sz w:val="24"/>
          <w:szCs w:val="24"/>
        </w:rPr>
        <w:t xml:space="preserve">=58) was observed over the course of the irradiation.  What is directly correlated, is a regular change in the </w:t>
      </w:r>
      <w:r w:rsidRPr="00EA2567">
        <w:rPr>
          <w:i/>
          <w:sz w:val="24"/>
          <w:szCs w:val="24"/>
        </w:rPr>
        <w:t>m/q</w:t>
      </w:r>
      <w:r w:rsidRPr="00EA2567">
        <w:rPr>
          <w:sz w:val="24"/>
          <w:szCs w:val="24"/>
        </w:rPr>
        <w:t xml:space="preserve"> equal to 56.     It is plausible that the rise in 56 signal is from iron in the stainless steel holder that the nickel target was mounted on.  Per the vapor curves, iron does exhibit a greater degree of volatility as compared to nickel.  However, it is more likely that this experiment demonstrates the dangers of contamination and mass interferences in identifying liberated species during the irradiation event.  </w:t>
      </w:r>
    </w:p>
    <w:p w:rsidR="00EA2567" w:rsidRPr="00EA2567" w:rsidRDefault="00EA2567" w:rsidP="00BC796B">
      <w:pPr>
        <w:ind w:firstLine="720"/>
        <w:jc w:val="both"/>
        <w:rPr>
          <w:sz w:val="24"/>
          <w:szCs w:val="24"/>
        </w:rPr>
      </w:pPr>
      <w:r w:rsidRPr="00EA2567">
        <w:rPr>
          <w:sz w:val="24"/>
          <w:szCs w:val="24"/>
        </w:rPr>
        <w:t>Several prominent hydrocarbon species exist in the ~50 amu range, one type being alkenes.  Alkenes can be formed from the cracking of long-chained oil compounds ubiquitous in vacuum systems, with possible direct mass interference coming from the hydrocarbon C</w:t>
      </w:r>
      <w:r w:rsidRPr="00EA2567">
        <w:rPr>
          <w:sz w:val="24"/>
          <w:szCs w:val="24"/>
          <w:vertAlign w:val="subscript"/>
        </w:rPr>
        <w:t>4</w:t>
      </w:r>
      <w:r w:rsidRPr="00EA2567">
        <w:rPr>
          <w:sz w:val="24"/>
          <w:szCs w:val="24"/>
        </w:rPr>
        <w:t>H</w:t>
      </w:r>
      <w:r w:rsidRPr="00EA2567">
        <w:rPr>
          <w:sz w:val="24"/>
          <w:szCs w:val="24"/>
          <w:vertAlign w:val="subscript"/>
        </w:rPr>
        <w:t>8</w:t>
      </w:r>
      <w:r w:rsidRPr="00EA2567">
        <w:rPr>
          <w:sz w:val="24"/>
          <w:szCs w:val="24"/>
        </w:rPr>
        <w:t xml:space="preserve">.  It is probable that the signal generated for mass 56 represents the fragmentation of oils on the target, target holder, and end-station as the temperature substantially increases over the irradiation.  This particular mass interference would make it exceedingly difficult to measure iron volatilization in a similar measurement as performed here for nickel.  Overall, the results indicate that the sensitivity of the instrument is unable to detect gaseous nickel over the range of experimental conditions investigated.  </w:t>
      </w:r>
    </w:p>
    <w:p w:rsidR="00EA2567" w:rsidRPr="00EA2567" w:rsidRDefault="00EA2567" w:rsidP="00BC796B">
      <w:pPr>
        <w:pStyle w:val="Heading2"/>
        <w:numPr>
          <w:ilvl w:val="0"/>
          <w:numId w:val="0"/>
        </w:numPr>
      </w:pPr>
      <w:r w:rsidRPr="00EA2567">
        <w:t>III.c Polymer Example</w:t>
      </w:r>
    </w:p>
    <w:p w:rsidR="00EA2567" w:rsidRPr="00EA2567" w:rsidRDefault="00EA2567" w:rsidP="00BC796B">
      <w:pPr>
        <w:jc w:val="both"/>
        <w:rPr>
          <w:sz w:val="24"/>
          <w:szCs w:val="24"/>
        </w:rPr>
      </w:pPr>
      <w:r w:rsidRPr="00EA2567">
        <w:rPr>
          <w:sz w:val="24"/>
          <w:szCs w:val="24"/>
        </w:rPr>
        <w:tab/>
        <w:t>Kapton</w:t>
      </w:r>
      <w:r w:rsidRPr="00EA2567">
        <w:rPr>
          <w:sz w:val="24"/>
          <w:szCs w:val="24"/>
          <w:vertAlign w:val="superscript"/>
        </w:rPr>
        <w:t>®</w:t>
      </w:r>
      <w:r w:rsidRPr="00EA2567">
        <w:rPr>
          <w:sz w:val="24"/>
          <w:szCs w:val="24"/>
        </w:rPr>
        <w:t xml:space="preserve"> is an aromatic polyimide film with a long history of use in radiation and vacuum environments due to its thermal stability and radiation tolerance </w:t>
      </w:r>
      <w:r w:rsidRPr="00EA2567">
        <w:rPr>
          <w:sz w:val="24"/>
          <w:szCs w:val="24"/>
        </w:rPr>
        <w:fldChar w:fldCharType="begin"/>
      </w:r>
      <w:r w:rsidRPr="00EA2567">
        <w:rPr>
          <w:sz w:val="24"/>
          <w:szCs w:val="24"/>
        </w:rPr>
        <w:instrText xml:space="preserve"> ADDIN EN.CITE &lt;EndNote&gt;&lt;Cite&gt;&lt;Author&gt;Hanks&lt;/Author&gt;&lt;Year&gt;1971&lt;/Year&gt;&lt;RecNum&gt;89&lt;/RecNum&gt;&lt;DisplayText&gt;(Hanks and Hamman, 1971; Megusar, 1997)&lt;/DisplayText&gt;&lt;record&gt;&lt;rec-number&gt;89&lt;/rec-number&gt;&lt;foreign-keys&gt;&lt;key app="EN" db-id="2ddz0wwset2fe1ed2d6v90xi020eppw5p00w" timestamp="1485167024"&gt;89&lt;/key&gt;&lt;/foreign-keys&gt;&lt;ref-type name="Report"&gt;27&lt;/ref-type&gt;&lt;contributors&gt;&lt;authors&gt;&lt;author&gt;Hanks, CL&lt;/author&gt;&lt;author&gt;Hamman, DJ&lt;/author&gt;&lt;/authors&gt;&lt;/contributors&gt;&lt;titles&gt;&lt;title&gt;Radiation Effects Design Handbook. Section 3. Electrical Insulating Materials and Capacitors&lt;/title&gt;&lt;/titles&gt;&lt;dates&gt;&lt;year&gt;1971&lt;/year&gt;&lt;/dates&gt;&lt;publisher&gt;DTIC Document&lt;/publisher&gt;&lt;urls&gt;&lt;/urls&gt;&lt;/record&gt;&lt;/Cite&gt;&lt;Cite&gt;&lt;Author&gt;Megusar&lt;/Author&gt;&lt;Year&gt;1997&lt;/Year&gt;&lt;RecNum&gt;90&lt;/RecNum&gt;&lt;record&gt;&lt;rec-number&gt;90&lt;/rec-number&gt;&lt;foreign-keys&gt;&lt;key app="EN" db-id="2ddz0wwset2fe1ed2d6v90xi020eppw5p00w" timestamp="1485167168"&gt;90&lt;/key&gt;&lt;/foreign-keys&gt;&lt;ref-type name="Journal Article"&gt;17&lt;/ref-type&gt;&lt;contributors&gt;&lt;authors&gt;&lt;author&gt;Megusar, Janez&lt;/author&gt;&lt;/authors&gt;&lt;/contributors&gt;&lt;titles&gt;&lt;title&gt;Low temperature fast-neutron and gamma irradiation of Kapton® polyimide films&lt;/title&gt;&lt;secondary-title&gt;Journal of nuclear materials&lt;/secondary-title&gt;&lt;/titles&gt;&lt;periodical&gt;&lt;full-title&gt;Journal of nuclear materials&lt;/full-title&gt;&lt;/periodical&gt;&lt;pages&gt;185-190&lt;/pages&gt;&lt;volume&gt;245&lt;/volume&gt;&lt;number&gt;2-3&lt;/number&gt;&lt;dates&gt;&lt;year&gt;1997&lt;/year&gt;&lt;/dates&gt;&lt;isbn&gt;0022-3115&lt;/isbn&gt;&lt;urls&gt;&lt;/urls&gt;&lt;/record&gt;&lt;/Cite&gt;&lt;/EndNote&gt;</w:instrText>
      </w:r>
      <w:r w:rsidRPr="00EA2567">
        <w:rPr>
          <w:sz w:val="24"/>
          <w:szCs w:val="24"/>
        </w:rPr>
        <w:fldChar w:fldCharType="separate"/>
      </w:r>
      <w:r w:rsidRPr="00EA2567">
        <w:rPr>
          <w:noProof/>
          <w:sz w:val="24"/>
          <w:szCs w:val="24"/>
        </w:rPr>
        <w:t>(Hanks and Hamman, 1971; Megusar, 1997)</w:t>
      </w:r>
      <w:r w:rsidRPr="00EA2567">
        <w:rPr>
          <w:sz w:val="24"/>
          <w:szCs w:val="24"/>
        </w:rPr>
        <w:fldChar w:fldCharType="end"/>
      </w:r>
      <w:r w:rsidRPr="00EA2567">
        <w:rPr>
          <w:sz w:val="24"/>
          <w:szCs w:val="24"/>
        </w:rPr>
        <w:t>.  A Kapton</w:t>
      </w:r>
      <w:r w:rsidRPr="00EA2567">
        <w:rPr>
          <w:sz w:val="24"/>
          <w:szCs w:val="24"/>
          <w:vertAlign w:val="superscript"/>
        </w:rPr>
        <w:t>®</w:t>
      </w:r>
      <w:r w:rsidRPr="00EA2567">
        <w:rPr>
          <w:sz w:val="24"/>
          <w:szCs w:val="24"/>
        </w:rPr>
        <w:t xml:space="preserve"> film was exposed to three successive 2.7x10</w:t>
      </w:r>
      <w:r w:rsidRPr="00EA2567">
        <w:rPr>
          <w:sz w:val="24"/>
          <w:szCs w:val="24"/>
          <w:vertAlign w:val="superscript"/>
        </w:rPr>
        <w:t>13</w:t>
      </w:r>
      <w:r w:rsidRPr="00EA2567">
        <w:rPr>
          <w:sz w:val="24"/>
          <w:szCs w:val="24"/>
        </w:rPr>
        <w:t xml:space="preserve"> He</w:t>
      </w:r>
      <w:r w:rsidRPr="00EA2567">
        <w:rPr>
          <w:sz w:val="24"/>
          <w:szCs w:val="24"/>
          <w:vertAlign w:val="superscript"/>
        </w:rPr>
        <w:t>++</w:t>
      </w:r>
      <w:r w:rsidRPr="00EA2567">
        <w:rPr>
          <w:sz w:val="24"/>
          <w:szCs w:val="24"/>
        </w:rPr>
        <w:t>/cm</w:t>
      </w:r>
      <w:r w:rsidRPr="00EA2567">
        <w:rPr>
          <w:sz w:val="24"/>
          <w:szCs w:val="24"/>
          <w:vertAlign w:val="superscript"/>
        </w:rPr>
        <w:t xml:space="preserve">2 </w:t>
      </w:r>
      <w:r w:rsidRPr="00EA2567">
        <w:rPr>
          <w:sz w:val="24"/>
          <w:szCs w:val="24"/>
        </w:rPr>
        <w:t>irradiations (~5 MGy) using 5.5 MeV particles.  Figure 5 shows that over the elapsed time of the irradiation, a reduction in evolved CO</w:t>
      </w:r>
      <w:r w:rsidRPr="00EA2567">
        <w:rPr>
          <w:sz w:val="24"/>
          <w:szCs w:val="24"/>
          <w:vertAlign w:val="subscript"/>
        </w:rPr>
        <w:t>2</w:t>
      </w:r>
      <w:r w:rsidRPr="00EA2567">
        <w:rPr>
          <w:sz w:val="24"/>
          <w:szCs w:val="24"/>
        </w:rPr>
        <w:t xml:space="preserve"> gas as a function of dose is observed.  The oscillatory pattern of evolved CO</w:t>
      </w:r>
      <w:r w:rsidRPr="00EA2567">
        <w:rPr>
          <w:sz w:val="24"/>
          <w:szCs w:val="24"/>
          <w:vertAlign w:val="subscript"/>
        </w:rPr>
        <w:t>2</w:t>
      </w:r>
      <w:r w:rsidRPr="00EA2567">
        <w:rPr>
          <w:sz w:val="24"/>
          <w:szCs w:val="24"/>
        </w:rPr>
        <w:t xml:space="preserve"> gas</w:t>
      </w:r>
      <w:r w:rsidRPr="00EA2567">
        <w:rPr>
          <w:sz w:val="24"/>
          <w:szCs w:val="24"/>
          <w:vertAlign w:val="subscript"/>
        </w:rPr>
        <w:t xml:space="preserve"> </w:t>
      </w:r>
      <w:r w:rsidRPr="00EA2567">
        <w:rPr>
          <w:sz w:val="24"/>
          <w:szCs w:val="24"/>
        </w:rPr>
        <w:t>is due to scanning the 25 nA, 0.09 cm</w:t>
      </w:r>
      <w:r w:rsidRPr="00EA2567">
        <w:rPr>
          <w:sz w:val="24"/>
          <w:szCs w:val="24"/>
          <w:vertAlign w:val="superscript"/>
        </w:rPr>
        <w:t>2</w:t>
      </w:r>
      <w:r w:rsidRPr="00EA2567">
        <w:rPr>
          <w:sz w:val="24"/>
          <w:szCs w:val="24"/>
        </w:rPr>
        <w:t xml:space="preserve"> beam, over a 1 cm</w:t>
      </w:r>
      <w:r w:rsidRPr="00EA2567">
        <w:rPr>
          <w:sz w:val="24"/>
          <w:szCs w:val="24"/>
          <w:vertAlign w:val="superscript"/>
        </w:rPr>
        <w:t xml:space="preserve">2 </w:t>
      </w:r>
      <w:r w:rsidRPr="00EA2567">
        <w:rPr>
          <w:sz w:val="24"/>
          <w:szCs w:val="24"/>
        </w:rPr>
        <w:t>area in order to achieve a uniform irradiation and to minimize target heating.  The dip in the pattern represents a period during the scan where the beam was not hitting the polymer target, while the peak represents the entire beam on the film.  Figure 5 indicates that during the first seconds of the irradiation, an approximate 40x increase in the partial pressure of mass 44 (CO</w:t>
      </w:r>
      <w:r w:rsidRPr="00EA2567">
        <w:rPr>
          <w:sz w:val="24"/>
          <w:szCs w:val="24"/>
          <w:vertAlign w:val="subscript"/>
        </w:rPr>
        <w:t>2</w:t>
      </w:r>
      <w:r w:rsidRPr="00EA2567">
        <w:rPr>
          <w:sz w:val="24"/>
          <w:szCs w:val="24"/>
        </w:rPr>
        <w:t>) was detected by the RGA.  Over the course of the first irradiation, the partial pressure of CO</w:t>
      </w:r>
      <w:r w:rsidRPr="00EA2567">
        <w:rPr>
          <w:sz w:val="24"/>
          <w:szCs w:val="24"/>
          <w:vertAlign w:val="subscript"/>
        </w:rPr>
        <w:t>2</w:t>
      </w:r>
      <w:r w:rsidRPr="00EA2567">
        <w:rPr>
          <w:sz w:val="24"/>
          <w:szCs w:val="24"/>
        </w:rPr>
        <w:t xml:space="preserve"> was observed to decrease. This trend continues for the second dose, while the pressure during the third remains relatively unchanged over the course of the irradiation.  The data also indicates that only ~2 minutes were required between each irradiation for the system to return to the background partial pressure of CO</w:t>
      </w:r>
      <w:r w:rsidRPr="00EA2567">
        <w:rPr>
          <w:sz w:val="24"/>
          <w:szCs w:val="24"/>
          <w:vertAlign w:val="subscript"/>
        </w:rPr>
        <w:t>2</w:t>
      </w:r>
      <w:r w:rsidRPr="00EA2567">
        <w:rPr>
          <w:sz w:val="24"/>
          <w:szCs w:val="24"/>
        </w:rPr>
        <w:t xml:space="preserve">. </w:t>
      </w:r>
    </w:p>
    <w:p w:rsidR="00EA2567" w:rsidRPr="00EA2567" w:rsidRDefault="00EA2567" w:rsidP="00BC796B">
      <w:pPr>
        <w:ind w:firstLine="720"/>
        <w:jc w:val="both"/>
        <w:rPr>
          <w:sz w:val="24"/>
          <w:szCs w:val="24"/>
        </w:rPr>
      </w:pPr>
      <w:r w:rsidRPr="00EA2567">
        <w:rPr>
          <w:sz w:val="24"/>
          <w:szCs w:val="24"/>
        </w:rPr>
        <w:t>The rapid detection of CO</w:t>
      </w:r>
      <w:r w:rsidRPr="00EA2567">
        <w:rPr>
          <w:sz w:val="24"/>
          <w:szCs w:val="24"/>
          <w:vertAlign w:val="subscript"/>
        </w:rPr>
        <w:t>2</w:t>
      </w:r>
      <w:r w:rsidRPr="00EA2567">
        <w:rPr>
          <w:sz w:val="24"/>
          <w:szCs w:val="24"/>
        </w:rPr>
        <w:t>, direct correlation between CO</w:t>
      </w:r>
      <w:r w:rsidRPr="00EA2567">
        <w:rPr>
          <w:sz w:val="24"/>
          <w:szCs w:val="24"/>
          <w:vertAlign w:val="subscript"/>
        </w:rPr>
        <w:t>2</w:t>
      </w:r>
      <w:r w:rsidRPr="00EA2567">
        <w:rPr>
          <w:sz w:val="24"/>
          <w:szCs w:val="24"/>
        </w:rPr>
        <w:t xml:space="preserve"> generation and scan pattern, and relatively low beam current scanned over a wide area, are all indicators that gas generation in the polymer is likely related to ionization effects rather than thermal heating.   Literature results for the gaseous species generated in KAPTON</w:t>
      </w:r>
      <w:r w:rsidRPr="00EA2567">
        <w:rPr>
          <w:sz w:val="24"/>
          <w:szCs w:val="24"/>
          <w:vertAlign w:val="superscript"/>
        </w:rPr>
        <w:t>®</w:t>
      </w:r>
      <w:r w:rsidRPr="00EA2567">
        <w:rPr>
          <w:sz w:val="24"/>
          <w:szCs w:val="24"/>
        </w:rPr>
        <w:t xml:space="preserve"> support this, and vary for the type of incident radiation.  Hegazy et al. </w:t>
      </w:r>
      <w:r w:rsidRPr="00EA2567">
        <w:rPr>
          <w:sz w:val="24"/>
          <w:szCs w:val="24"/>
        </w:rPr>
        <w:fldChar w:fldCharType="begin"/>
      </w:r>
      <w:r w:rsidRPr="00EA2567">
        <w:rPr>
          <w:sz w:val="24"/>
          <w:szCs w:val="24"/>
        </w:rPr>
        <w:instrText xml:space="preserve"> ADDIN EN.CITE &lt;EndNote&gt;&lt;Cite ExcludeAuth="1"&gt;&lt;Author&gt;Hegazy&lt;/Author&gt;&lt;Year&gt;1992&lt;/Year&gt;&lt;RecNum&gt;80&lt;/RecNum&gt;&lt;DisplayText&gt;(1992)&lt;/DisplayText&gt;&lt;record&gt;&lt;rec-number&gt;80&lt;/rec-number&gt;&lt;foreign-keys&gt;&lt;key app="EN" db-id="2ddz0wwset2fe1ed2d6v90xi020eppw5p00w" timestamp="1484138297"&gt;80&lt;/key&gt;&lt;/foreign-keys&gt;&lt;ref-type name="Journal Article"&gt;17&lt;/ref-type&gt;&lt;contributors&gt;&lt;authors&gt;&lt;author&gt;Hegazy, El-Sayed A&lt;/author&gt;&lt;author&gt;Sasuga, T&lt;/author&gt;&lt;author&gt;Nishii, M&lt;/author&gt;&lt;author&gt;Seguchi, T&lt;/author&gt;&lt;/authors&gt;&lt;/contributors&gt;&lt;titles&gt;&lt;title&gt;Irradiation effects on aromatic polymers: 1. Gas evolution by gamma irradiation&lt;/title&gt;&lt;secondary-title&gt;Polymer&lt;/secondary-title&gt;&lt;/titles&gt;&lt;periodical&gt;&lt;full-title&gt;Polymer&lt;/full-title&gt;&lt;/periodical&gt;&lt;pages&gt;2897-2903&lt;/pages&gt;&lt;volume&gt;33&lt;/volume&gt;&lt;number&gt;14&lt;/number&gt;&lt;dates&gt;&lt;year&gt;1992&lt;/year&gt;&lt;/dates&gt;&lt;isbn&gt;0032-3861&lt;/isbn&gt;&lt;urls&gt;&lt;/urls&gt;&lt;/record&gt;&lt;/Cite&gt;&lt;/EndNote&gt;</w:instrText>
      </w:r>
      <w:r w:rsidRPr="00EA2567">
        <w:rPr>
          <w:sz w:val="24"/>
          <w:szCs w:val="24"/>
        </w:rPr>
        <w:fldChar w:fldCharType="separate"/>
      </w:r>
      <w:r w:rsidRPr="00EA2567">
        <w:rPr>
          <w:noProof/>
          <w:sz w:val="24"/>
          <w:szCs w:val="24"/>
        </w:rPr>
        <w:t>(1992)</w:t>
      </w:r>
      <w:r w:rsidRPr="00EA2567">
        <w:rPr>
          <w:sz w:val="24"/>
          <w:szCs w:val="24"/>
        </w:rPr>
        <w:fldChar w:fldCharType="end"/>
      </w:r>
      <w:r w:rsidRPr="00EA2567">
        <w:rPr>
          <w:sz w:val="24"/>
          <w:szCs w:val="24"/>
        </w:rPr>
        <w:t xml:space="preserve"> found that when using gamma-rays the dominant evolved species in decreasing order were CO</w:t>
      </w:r>
      <w:r w:rsidRPr="00EA2567">
        <w:rPr>
          <w:sz w:val="24"/>
          <w:szCs w:val="24"/>
          <w:vertAlign w:val="subscript"/>
        </w:rPr>
        <w:t>2</w:t>
      </w:r>
      <w:r w:rsidRPr="00EA2567">
        <w:rPr>
          <w:sz w:val="24"/>
          <w:szCs w:val="24"/>
        </w:rPr>
        <w:t>, CO, H</w:t>
      </w:r>
      <w:r w:rsidRPr="00EA2567">
        <w:rPr>
          <w:sz w:val="24"/>
          <w:szCs w:val="24"/>
          <w:vertAlign w:val="subscript"/>
        </w:rPr>
        <w:t>2</w:t>
      </w:r>
      <w:r w:rsidRPr="00EA2567">
        <w:rPr>
          <w:sz w:val="24"/>
          <w:szCs w:val="24"/>
        </w:rPr>
        <w:t>, and CH</w:t>
      </w:r>
      <w:r w:rsidRPr="00EA2567">
        <w:rPr>
          <w:sz w:val="24"/>
          <w:szCs w:val="24"/>
          <w:vertAlign w:val="subscript"/>
        </w:rPr>
        <w:t>4</w:t>
      </w:r>
      <w:r w:rsidRPr="00EA2567">
        <w:rPr>
          <w:sz w:val="24"/>
          <w:szCs w:val="24"/>
        </w:rPr>
        <w:t xml:space="preserve">.   Lewis and Lee </w:t>
      </w:r>
      <w:r w:rsidRPr="00EA2567">
        <w:rPr>
          <w:sz w:val="24"/>
          <w:szCs w:val="24"/>
        </w:rPr>
        <w:fldChar w:fldCharType="begin"/>
      </w:r>
      <w:r w:rsidRPr="00EA2567">
        <w:rPr>
          <w:sz w:val="24"/>
          <w:szCs w:val="24"/>
        </w:rPr>
        <w:instrText xml:space="preserve"> ADDIN EN.CITE &lt;EndNote&gt;&lt;Cite ExcludeAuth="1"&gt;&lt;Author&gt;Lewis&lt;/Author&gt;&lt;Year&gt;1991&lt;/Year&gt;&lt;RecNum&gt;91&lt;/RecNum&gt;&lt;DisplayText&gt;(1991)&lt;/DisplayText&gt;&lt;record&gt;&lt;rec-number&gt;91&lt;/rec-number&gt;&lt;foreign-keys&gt;&lt;key app="EN" db-id="2ddz0wwset2fe1ed2d6v90xi020eppw5p00w" timestamp="1485534719"&gt;91&lt;/key&gt;&lt;/foreign-keys&gt;&lt;ref-type name="Journal Article"&gt;17&lt;/ref-type&gt;&lt;contributors&gt;&lt;authors&gt;&lt;author&gt;Lewis, MB&lt;/author&gt;&lt;author&gt;Lee, EH&lt;/author&gt;&lt;/authors&gt;&lt;/contributors&gt;&lt;titles&gt;&lt;title&gt;Residual gas and ion-beam analysis of ion-irradiated polymers&lt;/title&gt;&lt;secondary-title&gt;Nuclear Instruments and Methods in Physics Research Section B: Beam Interactions with Materials and Atoms&lt;/secondary-title&gt;&lt;/titles&gt;&lt;periodical&gt;&lt;full-title&gt;Nuclear Instruments and Methods in Physics Research Section B: Beam Interactions with Materials and Atoms&lt;/full-title&gt;&lt;/periodical&gt;&lt;pages&gt;457-465&lt;/pages&gt;&lt;volume&gt;61&lt;/volume&gt;&lt;number&gt;4&lt;/number&gt;&lt;dates&gt;&lt;year&gt;1991&lt;/year&gt;&lt;/dates&gt;&lt;isbn&gt;0168-583X&lt;/isbn&gt;&lt;urls&gt;&lt;/urls&gt;&lt;/record&gt;&lt;/Cite&gt;&lt;/EndNote&gt;</w:instrText>
      </w:r>
      <w:r w:rsidRPr="00EA2567">
        <w:rPr>
          <w:sz w:val="24"/>
          <w:szCs w:val="24"/>
        </w:rPr>
        <w:fldChar w:fldCharType="separate"/>
      </w:r>
      <w:r w:rsidRPr="00EA2567">
        <w:rPr>
          <w:noProof/>
          <w:sz w:val="24"/>
          <w:szCs w:val="24"/>
        </w:rPr>
        <w:t>(1991)</w:t>
      </w:r>
      <w:r w:rsidRPr="00EA2567">
        <w:rPr>
          <w:sz w:val="24"/>
          <w:szCs w:val="24"/>
        </w:rPr>
        <w:fldChar w:fldCharType="end"/>
      </w:r>
      <w:r w:rsidRPr="00EA2567">
        <w:rPr>
          <w:sz w:val="24"/>
          <w:szCs w:val="24"/>
        </w:rPr>
        <w:t xml:space="preserve"> found that CO, H</w:t>
      </w:r>
      <w:r w:rsidRPr="00EA2567">
        <w:rPr>
          <w:sz w:val="24"/>
          <w:szCs w:val="24"/>
          <w:vertAlign w:val="subscript"/>
        </w:rPr>
        <w:t xml:space="preserve">2, </w:t>
      </w:r>
      <w:r w:rsidRPr="00EA2567">
        <w:rPr>
          <w:sz w:val="24"/>
          <w:szCs w:val="24"/>
        </w:rPr>
        <w:t>and CO</w:t>
      </w:r>
      <w:r w:rsidRPr="00EA2567">
        <w:rPr>
          <w:sz w:val="24"/>
          <w:szCs w:val="24"/>
          <w:vertAlign w:val="subscript"/>
        </w:rPr>
        <w:t xml:space="preserve">2 </w:t>
      </w:r>
      <w:r w:rsidRPr="00EA2567">
        <w:rPr>
          <w:sz w:val="24"/>
          <w:szCs w:val="24"/>
        </w:rPr>
        <w:t>were the dominant species when using 200 keV Si ions.  In the case of the Si irradiation, the authors developed separate mechanisms for the formation of CO and CO</w:t>
      </w:r>
      <w:r w:rsidRPr="00EA2567">
        <w:rPr>
          <w:sz w:val="24"/>
          <w:szCs w:val="24"/>
          <w:vertAlign w:val="subscript"/>
        </w:rPr>
        <w:t>2</w:t>
      </w:r>
      <w:r w:rsidRPr="00EA2567">
        <w:rPr>
          <w:sz w:val="24"/>
          <w:szCs w:val="24"/>
        </w:rPr>
        <w:t>.  Double scission of a carbonyl-amidic bonds results in the spontaneous formation of CO, while the formation of CO</w:t>
      </w:r>
      <w:r w:rsidRPr="00EA2567">
        <w:rPr>
          <w:sz w:val="24"/>
          <w:szCs w:val="24"/>
          <w:vertAlign w:val="subscript"/>
        </w:rPr>
        <w:t xml:space="preserve">2 </w:t>
      </w:r>
      <w:r w:rsidRPr="00EA2567">
        <w:rPr>
          <w:sz w:val="24"/>
          <w:szCs w:val="24"/>
        </w:rPr>
        <w:t>is more</w:t>
      </w:r>
      <w:r w:rsidRPr="00EA2567">
        <w:rPr>
          <w:sz w:val="24"/>
          <w:szCs w:val="24"/>
          <w:vertAlign w:val="subscript"/>
        </w:rPr>
        <w:t xml:space="preserve"> </w:t>
      </w:r>
      <w:r w:rsidRPr="00EA2567">
        <w:rPr>
          <w:sz w:val="24"/>
          <w:szCs w:val="24"/>
        </w:rPr>
        <w:t>complex.  Ionization results in the formation of an O-C=N radical; this is followed by double scission which leads to decarboxylation forming the CO</w:t>
      </w:r>
      <w:r w:rsidRPr="00EA2567">
        <w:rPr>
          <w:sz w:val="24"/>
          <w:szCs w:val="24"/>
          <w:vertAlign w:val="subscript"/>
        </w:rPr>
        <w:t xml:space="preserve">2 </w:t>
      </w:r>
      <w:r w:rsidRPr="00EA2567">
        <w:rPr>
          <w:sz w:val="24"/>
          <w:szCs w:val="24"/>
        </w:rPr>
        <w:t xml:space="preserve">molecule.  </w:t>
      </w:r>
      <w:r w:rsidRPr="00EA2567">
        <w:rPr>
          <w:i/>
          <w:sz w:val="24"/>
          <w:szCs w:val="24"/>
        </w:rPr>
        <w:t xml:space="preserve"> </w:t>
      </w:r>
      <w:r w:rsidRPr="00EA2567">
        <w:rPr>
          <w:sz w:val="24"/>
          <w:szCs w:val="24"/>
        </w:rPr>
        <w:t>The decrease of CO</w:t>
      </w:r>
      <w:r w:rsidRPr="00EA2567">
        <w:rPr>
          <w:sz w:val="24"/>
          <w:szCs w:val="24"/>
          <w:vertAlign w:val="subscript"/>
        </w:rPr>
        <w:t>2</w:t>
      </w:r>
      <w:r w:rsidRPr="00EA2567">
        <w:rPr>
          <w:sz w:val="24"/>
          <w:szCs w:val="24"/>
        </w:rPr>
        <w:t xml:space="preserve"> generated over the course of the irradiation described by Lewis and Lee is similar to the trend observed in Fig. 5.  Overall, the results indicate that the RGA is sensitive to volatilization products formed during scenarios which simulate α-particle radiolysis in polymers.  </w:t>
      </w:r>
    </w:p>
    <w:p w:rsidR="00EA2567" w:rsidRPr="00EA2567" w:rsidRDefault="00EA2567" w:rsidP="0067197E">
      <w:pPr>
        <w:pStyle w:val="Heading2"/>
        <w:numPr>
          <w:ilvl w:val="0"/>
          <w:numId w:val="0"/>
        </w:numPr>
      </w:pPr>
      <w:r w:rsidRPr="00EA2567">
        <w:t>III.d Sulfide Example</w:t>
      </w:r>
    </w:p>
    <w:p w:rsidR="00EA2567" w:rsidRPr="00EA2567" w:rsidRDefault="00EA2567" w:rsidP="00BC796B">
      <w:pPr>
        <w:ind w:firstLine="720"/>
        <w:jc w:val="both"/>
        <w:rPr>
          <w:sz w:val="24"/>
          <w:szCs w:val="24"/>
        </w:rPr>
      </w:pPr>
      <w:r w:rsidRPr="00EA2567">
        <w:rPr>
          <w:sz w:val="24"/>
          <w:szCs w:val="24"/>
        </w:rPr>
        <w:t>Understanding mechanisms responsible for the formation of planets and the distribution of elements in the solar system can be investigated by studying meteorites.  Meteorites can contain primitive assemblages of minerals, metals and amorphous phases, which represent various stages of cooling and condensation from a hot nebular gas.  These may include high-temperature refractory minerals such as corundum (Al</w:t>
      </w:r>
      <w:r w:rsidRPr="00EA2567">
        <w:rPr>
          <w:sz w:val="24"/>
          <w:szCs w:val="24"/>
          <w:vertAlign w:val="subscript"/>
        </w:rPr>
        <w:t>2</w:t>
      </w:r>
      <w:r w:rsidRPr="00EA2567">
        <w:rPr>
          <w:sz w:val="24"/>
          <w:szCs w:val="24"/>
        </w:rPr>
        <w:t>O</w:t>
      </w:r>
      <w:r w:rsidRPr="00EA2567">
        <w:rPr>
          <w:sz w:val="24"/>
          <w:szCs w:val="24"/>
          <w:vertAlign w:val="subscript"/>
        </w:rPr>
        <w:t>3</w:t>
      </w:r>
      <w:r w:rsidRPr="00EA2567">
        <w:rPr>
          <w:sz w:val="24"/>
          <w:szCs w:val="24"/>
        </w:rPr>
        <w:t>) and forsterite (Mg</w:t>
      </w:r>
      <w:r w:rsidRPr="00EA2567">
        <w:rPr>
          <w:sz w:val="24"/>
          <w:szCs w:val="24"/>
          <w:vertAlign w:val="subscript"/>
        </w:rPr>
        <w:t>2</w:t>
      </w:r>
      <w:r w:rsidRPr="00EA2567">
        <w:rPr>
          <w:sz w:val="24"/>
          <w:szCs w:val="24"/>
        </w:rPr>
        <w:t>SiO</w:t>
      </w:r>
      <w:r w:rsidRPr="00EA2567">
        <w:rPr>
          <w:sz w:val="24"/>
          <w:szCs w:val="24"/>
          <w:vertAlign w:val="subscript"/>
        </w:rPr>
        <w:t>4</w:t>
      </w:r>
      <w:r w:rsidRPr="00EA2567">
        <w:rPr>
          <w:sz w:val="24"/>
          <w:szCs w:val="24"/>
        </w:rPr>
        <w:t>), coexisting with a suite of medium and low-temperature condensation minerals including iron/nickel metal and sulfides (FeS, and Fe</w:t>
      </w:r>
      <w:r w:rsidRPr="00EA2567">
        <w:rPr>
          <w:sz w:val="24"/>
          <w:szCs w:val="24"/>
          <w:vertAlign w:val="subscript"/>
        </w:rPr>
        <w:t>1-x</w:t>
      </w:r>
      <w:r w:rsidRPr="00EA2567">
        <w:rPr>
          <w:sz w:val="24"/>
          <w:szCs w:val="24"/>
        </w:rPr>
        <w:t>S).  It may be that protons discharged in exaggerated solar flare events during stellar evolution could chemically alter these phases.  Whereas the above experiments on nickel may be relevant to investigating some metallic phases in meteorites, additional 2 MeV proton irradiations were conducted on an FeS analog, pyrite (FeS</w:t>
      </w:r>
      <w:r w:rsidRPr="00EA2567">
        <w:rPr>
          <w:sz w:val="24"/>
          <w:szCs w:val="24"/>
          <w:vertAlign w:val="subscript"/>
        </w:rPr>
        <w:t>2</w:t>
      </w:r>
      <w:r w:rsidRPr="00EA2567">
        <w:rPr>
          <w:sz w:val="24"/>
          <w:szCs w:val="24"/>
        </w:rPr>
        <w:t>).</w:t>
      </w:r>
    </w:p>
    <w:p w:rsidR="00EA2567" w:rsidRPr="00EA2567" w:rsidRDefault="00EA2567" w:rsidP="00BC796B">
      <w:pPr>
        <w:ind w:firstLine="720"/>
        <w:jc w:val="both"/>
        <w:rPr>
          <w:sz w:val="24"/>
          <w:szCs w:val="24"/>
        </w:rPr>
      </w:pPr>
      <w:r w:rsidRPr="00EA2567">
        <w:rPr>
          <w:sz w:val="24"/>
          <w:szCs w:val="24"/>
        </w:rPr>
        <w:t>Figure 6 shows an RGA scan of mass 64, S</w:t>
      </w:r>
      <w:r w:rsidRPr="00EA2567">
        <w:rPr>
          <w:sz w:val="24"/>
          <w:szCs w:val="24"/>
          <w:vertAlign w:val="subscript"/>
        </w:rPr>
        <w:t>2</w:t>
      </w:r>
      <w:r w:rsidRPr="00EA2567">
        <w:rPr>
          <w:sz w:val="24"/>
          <w:szCs w:val="24"/>
        </w:rPr>
        <w:t>, from an irradiated polished slab of FeS</w:t>
      </w:r>
      <w:r w:rsidRPr="00EA2567">
        <w:rPr>
          <w:sz w:val="24"/>
          <w:szCs w:val="24"/>
          <w:vertAlign w:val="subscript"/>
        </w:rPr>
        <w:t>2</w:t>
      </w:r>
      <w:r w:rsidRPr="00EA2567">
        <w:rPr>
          <w:sz w:val="24"/>
          <w:szCs w:val="24"/>
        </w:rPr>
        <w:t>.    At an elapsed time of 360 seconds, a flux 6.2x10</w:t>
      </w:r>
      <w:r w:rsidRPr="00EA2567">
        <w:rPr>
          <w:sz w:val="24"/>
          <w:szCs w:val="24"/>
          <w:vertAlign w:val="superscript"/>
        </w:rPr>
        <w:t>13</w:t>
      </w:r>
      <w:r w:rsidRPr="00EA2567">
        <w:rPr>
          <w:sz w:val="24"/>
          <w:szCs w:val="24"/>
        </w:rPr>
        <w:t xml:space="preserve"> H</w:t>
      </w:r>
      <w:r w:rsidRPr="00EA2567">
        <w:rPr>
          <w:sz w:val="24"/>
          <w:szCs w:val="24"/>
          <w:vertAlign w:val="superscript"/>
        </w:rPr>
        <w:t>+</w:t>
      </w:r>
      <w:r w:rsidRPr="00EA2567">
        <w:rPr>
          <w:sz w:val="24"/>
          <w:szCs w:val="24"/>
        </w:rPr>
        <w:t>/cm</w:t>
      </w:r>
      <w:r w:rsidRPr="00EA2567">
        <w:rPr>
          <w:sz w:val="24"/>
          <w:szCs w:val="24"/>
          <w:vertAlign w:val="superscript"/>
        </w:rPr>
        <w:t>2</w:t>
      </w:r>
      <w:r w:rsidRPr="00EA2567">
        <w:rPr>
          <w:sz w:val="24"/>
          <w:szCs w:val="24"/>
        </w:rPr>
        <w:t>-s (1 µA over 0.1 cm</w:t>
      </w:r>
      <w:r w:rsidRPr="00EA2567">
        <w:rPr>
          <w:sz w:val="24"/>
          <w:szCs w:val="24"/>
          <w:vertAlign w:val="superscript"/>
        </w:rPr>
        <w:t>2</w:t>
      </w:r>
      <w:r w:rsidRPr="00EA2567">
        <w:rPr>
          <w:sz w:val="24"/>
          <w:szCs w:val="24"/>
        </w:rPr>
        <w:t>) was applied to the target; no change in the RGA spectrum was observed.  However, at 720 seconds the flux was increased to 9.5x10</w:t>
      </w:r>
      <w:r w:rsidRPr="00EA2567">
        <w:rPr>
          <w:sz w:val="24"/>
          <w:szCs w:val="24"/>
          <w:vertAlign w:val="superscript"/>
        </w:rPr>
        <w:t>13</w:t>
      </w:r>
      <w:r w:rsidRPr="00EA2567">
        <w:rPr>
          <w:sz w:val="24"/>
          <w:szCs w:val="24"/>
        </w:rPr>
        <w:t xml:space="preserve"> H</w:t>
      </w:r>
      <w:r w:rsidRPr="00EA2567">
        <w:rPr>
          <w:sz w:val="24"/>
          <w:szCs w:val="24"/>
          <w:vertAlign w:val="superscript"/>
        </w:rPr>
        <w:t>+</w:t>
      </w:r>
      <w:r w:rsidRPr="00EA2567">
        <w:rPr>
          <w:sz w:val="24"/>
          <w:szCs w:val="24"/>
        </w:rPr>
        <w:t>/cm</w:t>
      </w:r>
      <w:r w:rsidRPr="00EA2567">
        <w:rPr>
          <w:sz w:val="24"/>
          <w:szCs w:val="24"/>
          <w:vertAlign w:val="superscript"/>
        </w:rPr>
        <w:t>2</w:t>
      </w:r>
      <w:r w:rsidRPr="00EA2567">
        <w:rPr>
          <w:sz w:val="24"/>
          <w:szCs w:val="24"/>
        </w:rPr>
        <w:t>-s, and a significant change in the S</w:t>
      </w:r>
      <w:r w:rsidRPr="00EA2567">
        <w:rPr>
          <w:sz w:val="24"/>
          <w:szCs w:val="24"/>
          <w:vertAlign w:val="subscript"/>
        </w:rPr>
        <w:t>2</w:t>
      </w:r>
      <w:r w:rsidRPr="00EA2567">
        <w:rPr>
          <w:sz w:val="24"/>
          <w:szCs w:val="24"/>
        </w:rPr>
        <w:t xml:space="preserve"> signal was detected.  The scan in Fig. 6 shows a steady increase in the S</w:t>
      </w:r>
      <w:r w:rsidRPr="00EA2567">
        <w:rPr>
          <w:sz w:val="24"/>
          <w:szCs w:val="24"/>
          <w:vertAlign w:val="subscript"/>
        </w:rPr>
        <w:t>2</w:t>
      </w:r>
      <w:r w:rsidRPr="00EA2567">
        <w:rPr>
          <w:sz w:val="24"/>
          <w:szCs w:val="24"/>
        </w:rPr>
        <w:t xml:space="preserve"> signal for approximately 720 seconds before it begins to level out.  At approximately 1500 seconds, the signal exhibited a drastic increase again; in this case, there was no change in the beam current.  At approximately 1600 seconds, the beam was turned off and the S</w:t>
      </w:r>
      <w:r w:rsidRPr="00EA2567">
        <w:rPr>
          <w:sz w:val="24"/>
          <w:szCs w:val="24"/>
          <w:vertAlign w:val="subscript"/>
        </w:rPr>
        <w:t>2</w:t>
      </w:r>
      <w:r w:rsidRPr="00EA2567">
        <w:rPr>
          <w:sz w:val="24"/>
          <w:szCs w:val="24"/>
        </w:rPr>
        <w:t xml:space="preserve"> signal decreased rapidly, then slowly decayed toward background over 1000 seconds before the measurement was stopped.  </w:t>
      </w:r>
    </w:p>
    <w:p w:rsidR="00116BC8" w:rsidRDefault="00EA2567" w:rsidP="00116BC8">
      <w:pPr>
        <w:ind w:firstLine="720"/>
        <w:jc w:val="both"/>
        <w:rPr>
          <w:sz w:val="24"/>
          <w:szCs w:val="24"/>
        </w:rPr>
      </w:pPr>
      <w:r w:rsidRPr="00EA2567">
        <w:rPr>
          <w:sz w:val="24"/>
          <w:szCs w:val="24"/>
        </w:rPr>
        <w:t>The sulfide example has similar behavior to the cement, as a threshold flux was required to generate volatilization products. Furthermore, the rapid approximately two order of magnitude change in S</w:t>
      </w:r>
      <w:r w:rsidRPr="00EA2567">
        <w:rPr>
          <w:sz w:val="24"/>
          <w:szCs w:val="24"/>
          <w:vertAlign w:val="subscript"/>
        </w:rPr>
        <w:t>2</w:t>
      </w:r>
      <w:r w:rsidRPr="00EA2567">
        <w:rPr>
          <w:sz w:val="24"/>
          <w:szCs w:val="24"/>
        </w:rPr>
        <w:t xml:space="preserve"> could be another indicator ionization is the dominant mechanism for gas generation.    The sharp increase at 1500 seconds</w:t>
      </w:r>
      <w:r w:rsidRPr="00EA2567">
        <w:rPr>
          <w:sz w:val="24"/>
          <w:szCs w:val="24"/>
          <w:vertAlign w:val="subscript"/>
        </w:rPr>
        <w:t xml:space="preserve"> </w:t>
      </w:r>
      <w:r w:rsidRPr="00EA2567">
        <w:rPr>
          <w:sz w:val="24"/>
          <w:szCs w:val="24"/>
        </w:rPr>
        <w:t>was likely the exposure of fresh FeS</w:t>
      </w:r>
      <w:r w:rsidRPr="00EA2567">
        <w:rPr>
          <w:sz w:val="24"/>
          <w:szCs w:val="24"/>
          <w:vertAlign w:val="subscript"/>
        </w:rPr>
        <w:t xml:space="preserve">2 </w:t>
      </w:r>
      <w:r w:rsidRPr="00EA2567">
        <w:rPr>
          <w:sz w:val="24"/>
          <w:szCs w:val="24"/>
        </w:rPr>
        <w:t>material to the beam due to a small portion of the surface spalling off.  This was observed post irradiation with optical and backscattered electron SEM images as shown in Figs. 7a and 7b.  An EDS line scan in Fig. 7c across the surface shows the relative concentrations of Fe and S.  The irradiated area indicates sulfur loss, while the inner region reveals the FeS</w:t>
      </w:r>
      <w:r w:rsidRPr="00EA2567">
        <w:rPr>
          <w:sz w:val="24"/>
          <w:szCs w:val="24"/>
          <w:vertAlign w:val="subscript"/>
        </w:rPr>
        <w:t xml:space="preserve">2 </w:t>
      </w:r>
      <w:r w:rsidRPr="00EA2567">
        <w:rPr>
          <w:sz w:val="24"/>
          <w:szCs w:val="24"/>
        </w:rPr>
        <w:t>stoichiometry.  It is expected that S</w:t>
      </w:r>
      <w:r w:rsidRPr="00EA2567">
        <w:rPr>
          <w:sz w:val="24"/>
          <w:szCs w:val="24"/>
          <w:vertAlign w:val="subscript"/>
        </w:rPr>
        <w:t>2</w:t>
      </w:r>
      <w:r w:rsidRPr="00EA2567">
        <w:rPr>
          <w:sz w:val="24"/>
          <w:szCs w:val="24"/>
        </w:rPr>
        <w:t xml:space="preserve"> generation would have reached a steady value and eventually fallen off, had the surface remained intact.</w:t>
      </w:r>
    </w:p>
    <w:p w:rsidR="00EA2567" w:rsidRDefault="00EA2567" w:rsidP="00116BC8">
      <w:pPr>
        <w:ind w:firstLine="720"/>
        <w:jc w:val="both"/>
        <w:rPr>
          <w:sz w:val="24"/>
          <w:szCs w:val="24"/>
        </w:rPr>
      </w:pPr>
      <w:r w:rsidRPr="00EA2567">
        <w:rPr>
          <w:sz w:val="24"/>
          <w:szCs w:val="24"/>
        </w:rPr>
        <w:t>The integrated flux between 1 keV and 2 MeV in solar flares should be greater than the flux of 2 MeV protons used in this experiment.  This is  due to a predicted 10</w:t>
      </w:r>
      <w:r w:rsidRPr="00EA2567">
        <w:rPr>
          <w:sz w:val="24"/>
          <w:szCs w:val="24"/>
          <w:vertAlign w:val="superscript"/>
        </w:rPr>
        <w:t>5</w:t>
      </w:r>
      <w:r w:rsidRPr="00EA2567">
        <w:rPr>
          <w:sz w:val="24"/>
          <w:szCs w:val="24"/>
        </w:rPr>
        <w:t xml:space="preserve"> increase in proton flux from developing stars </w:t>
      </w:r>
      <w:r w:rsidRPr="00EA2567">
        <w:rPr>
          <w:sz w:val="24"/>
          <w:szCs w:val="24"/>
        </w:rPr>
        <w:fldChar w:fldCharType="begin"/>
      </w:r>
      <w:r w:rsidRPr="00EA2567">
        <w:rPr>
          <w:sz w:val="24"/>
          <w:szCs w:val="24"/>
        </w:rPr>
        <w:instrText xml:space="preserve"> ADDIN EN.CITE &lt;EndNote&gt;&lt;Cite&gt;&lt;Author&gt;Feigelson&lt;/Author&gt;&lt;Year&gt;2002&lt;/Year&gt;&lt;RecNum&gt;24&lt;/RecNum&gt;&lt;DisplayText&gt;(Feigelson et al., 2002)&lt;/DisplayText&gt;&lt;record&gt;&lt;rec-number&gt;24&lt;/rec-number&gt;&lt;foreign-keys&gt;&lt;key app="EN" db-id="2ddz0wwset2fe1ed2d6v90xi020eppw5p00w" timestamp="0"&gt;24&lt;/key&gt;&lt;/foreign-keys&gt;&lt;ref-type name="Journal Article"&gt;17&lt;/ref-type&gt;&lt;contributors&gt;&lt;authors&gt;&lt;author&gt;Feigelson, Eric D&lt;/author&gt;&lt;author&gt;Garmire, Gordon P&lt;/author&gt;&lt;author&gt;Pravdo, Steven H&lt;/author&gt;&lt;/authors&gt;&lt;/contributors&gt;&lt;titles&gt;&lt;title&gt;Magnetic flaring in the pre-main-sequence Sun and implications for the early Solar System&lt;/title&gt;&lt;secondary-title&gt;The Astrophysical Journal&lt;/secondary-title&gt;&lt;/titles&gt;&lt;periodical&gt;&lt;full-title&gt;The Astrophysical Journal&lt;/full-title&gt;&lt;/periodical&gt;&lt;pages&gt;335-349&lt;/pages&gt;&lt;volume&gt;572&lt;/volume&gt;&lt;number&gt;1&lt;/number&gt;&lt;dates&gt;&lt;year&gt;2002&lt;/year&gt;&lt;/dates&gt;&lt;isbn&gt;0004-637X&lt;/isbn&gt;&lt;urls&gt;&lt;/urls&gt;&lt;/record&gt;&lt;/Cite&gt;&lt;/EndNote&gt;</w:instrText>
      </w:r>
      <w:r w:rsidRPr="00EA2567">
        <w:rPr>
          <w:sz w:val="24"/>
          <w:szCs w:val="24"/>
        </w:rPr>
        <w:fldChar w:fldCharType="separate"/>
      </w:r>
      <w:r w:rsidRPr="00EA2567">
        <w:rPr>
          <w:noProof/>
          <w:sz w:val="24"/>
          <w:szCs w:val="24"/>
        </w:rPr>
        <w:t>(Feigelson et al., 2002)</w:t>
      </w:r>
      <w:r w:rsidRPr="00EA2567">
        <w:rPr>
          <w:sz w:val="24"/>
          <w:szCs w:val="24"/>
        </w:rPr>
        <w:fldChar w:fldCharType="end"/>
      </w:r>
      <w:r w:rsidRPr="00EA2567">
        <w:rPr>
          <w:sz w:val="24"/>
          <w:szCs w:val="24"/>
        </w:rPr>
        <w:t xml:space="preserve">, as compared to present day values.  However, the distribution of particles in a solar flare would favor a lower-energy distribution of protons, as an exponential relationship between energy and flux exists </w:t>
      </w:r>
      <w:r w:rsidRPr="00EA2567">
        <w:rPr>
          <w:sz w:val="24"/>
          <w:szCs w:val="24"/>
        </w:rPr>
        <w:fldChar w:fldCharType="begin"/>
      </w:r>
      <w:r w:rsidRPr="00EA2567">
        <w:rPr>
          <w:sz w:val="24"/>
          <w:szCs w:val="24"/>
        </w:rPr>
        <w:instrText xml:space="preserve"> ADDIN EN.CITE &lt;EndNote&gt;&lt;Cite&gt;&lt;Author&gt;Reedy&lt;/Author&gt;&lt;Year&gt;1972&lt;/Year&gt;&lt;RecNum&gt;34&lt;/RecNum&gt;&lt;DisplayText&gt;(Reedy and Arnold, 1972)&lt;/DisplayText&gt;&lt;record&gt;&lt;rec-number&gt;34&lt;/rec-number&gt;&lt;foreign-keys&gt;&lt;key app="EN" db-id="2ddz0wwset2fe1ed2d6v90xi020eppw5p00w" timestamp="1468669066"&gt;34&lt;/key&gt;&lt;/foreign-keys&gt;&lt;ref-type name="Journal Article"&gt;17&lt;/ref-type&gt;&lt;contributors&gt;&lt;authors&gt;&lt;author&gt;Reedy, RC&lt;/author&gt;&lt;author&gt;Arnold, JR&lt;/author&gt;&lt;/authors&gt;&lt;/contributors&gt;&lt;titles&gt;&lt;title&gt;Interaction of solar and galactic cosmic</w:instrText>
      </w:r>
      <w:r w:rsidRPr="00EA2567">
        <w:rPr>
          <w:rFonts w:ascii="Cambria Math" w:hAnsi="Cambria Math" w:cs="Cambria Math"/>
          <w:sz w:val="24"/>
          <w:szCs w:val="24"/>
        </w:rPr>
        <w:instrText>‐</w:instrText>
      </w:r>
      <w:r w:rsidRPr="00EA2567">
        <w:rPr>
          <w:sz w:val="24"/>
          <w:szCs w:val="24"/>
        </w:rPr>
        <w:instrText>ray particles with the Moon&lt;/title&gt;&lt;secondary-title&gt;Journal of Geophysical Research&lt;/secondary-title&gt;&lt;/titles&gt;&lt;periodical&gt;&lt;full-title&gt;Journal of Geophysical Research&lt;/full-title&gt;&lt;/periodical&gt;&lt;pages&gt;537-555&lt;/pages&gt;&lt;volume&gt;77&lt;/volume&gt;&lt;number&gt;4&lt;/number&gt;&lt;dates&gt;&lt;year&gt;1972&lt;/year&gt;&lt;/dates&gt;&lt;isbn&gt;2156-2202&lt;/isbn&gt;&lt;urls&gt;&lt;/urls&gt;&lt;/record&gt;&lt;/Cite&gt;&lt;/EndNote&gt;</w:instrText>
      </w:r>
      <w:r w:rsidRPr="00EA2567">
        <w:rPr>
          <w:sz w:val="24"/>
          <w:szCs w:val="24"/>
        </w:rPr>
        <w:fldChar w:fldCharType="separate"/>
      </w:r>
      <w:r w:rsidRPr="00EA2567">
        <w:rPr>
          <w:noProof/>
          <w:sz w:val="24"/>
          <w:szCs w:val="24"/>
        </w:rPr>
        <w:t>(Reedy and Arnold, 1972)</w:t>
      </w:r>
      <w:r w:rsidRPr="00EA2567">
        <w:rPr>
          <w:sz w:val="24"/>
          <w:szCs w:val="24"/>
        </w:rPr>
        <w:fldChar w:fldCharType="end"/>
      </w:r>
      <w:r w:rsidRPr="00EA2567">
        <w:rPr>
          <w:sz w:val="24"/>
          <w:szCs w:val="24"/>
        </w:rPr>
        <w:t>.   Based on these results, sulfides in the early solar system may have limited stability in an irradiation environment.  Over the course of a prolonged irradiation, it may be possible to completely reduce a sulfide to a metal.</w:t>
      </w:r>
    </w:p>
    <w:p w:rsidR="00116BC8" w:rsidRDefault="00116BC8" w:rsidP="00116BC8">
      <w:pPr>
        <w:ind w:firstLine="720"/>
        <w:jc w:val="both"/>
        <w:rPr>
          <w:sz w:val="24"/>
          <w:szCs w:val="24"/>
        </w:rPr>
      </w:pPr>
    </w:p>
    <w:p w:rsidR="00116BC8" w:rsidRDefault="00116BC8" w:rsidP="00116BC8">
      <w:pPr>
        <w:ind w:firstLine="720"/>
        <w:jc w:val="both"/>
        <w:rPr>
          <w:sz w:val="24"/>
          <w:szCs w:val="24"/>
        </w:rPr>
      </w:pPr>
    </w:p>
    <w:p w:rsidR="00116BC8" w:rsidRPr="00EA2567" w:rsidRDefault="00116BC8" w:rsidP="00116BC8">
      <w:pPr>
        <w:ind w:firstLine="720"/>
        <w:jc w:val="both"/>
        <w:rPr>
          <w:sz w:val="24"/>
          <w:szCs w:val="24"/>
        </w:rPr>
      </w:pPr>
    </w:p>
    <w:p w:rsidR="00116BC8" w:rsidRDefault="00EA2567" w:rsidP="0067197E">
      <w:pPr>
        <w:pStyle w:val="Heading2"/>
        <w:numPr>
          <w:ilvl w:val="0"/>
          <w:numId w:val="0"/>
        </w:numPr>
      </w:pPr>
      <w:r w:rsidRPr="00EA2567">
        <w:t>III.d Lessons Learned and Recommendations</w:t>
      </w:r>
    </w:p>
    <w:p w:rsidR="00BC796B" w:rsidRDefault="00EA2567" w:rsidP="00BC796B">
      <w:pPr>
        <w:ind w:firstLine="720"/>
        <w:jc w:val="both"/>
        <w:rPr>
          <w:sz w:val="24"/>
          <w:szCs w:val="24"/>
        </w:rPr>
      </w:pPr>
      <w:r w:rsidRPr="00EA2567">
        <w:rPr>
          <w:sz w:val="24"/>
          <w:szCs w:val="24"/>
        </w:rPr>
        <w:t>The results presented here are strictly qualitative, but steps could be taken to both quantitatively determine volatilization products and increase the overall sensitivity.  For best results, the end-station should be completely isolated from the beamline; this would involve passing the beam through a thin-window such as Havar</w:t>
      </w:r>
      <w:r w:rsidRPr="00EA2567">
        <w:rPr>
          <w:sz w:val="24"/>
          <w:szCs w:val="24"/>
          <w:vertAlign w:val="superscript"/>
        </w:rPr>
        <w:t>©</w:t>
      </w:r>
      <w:r w:rsidRPr="00EA2567">
        <w:rPr>
          <w:sz w:val="24"/>
          <w:szCs w:val="24"/>
        </w:rPr>
        <w:t xml:space="preserve"> or Si</w:t>
      </w:r>
      <w:r w:rsidRPr="00EA2567">
        <w:rPr>
          <w:sz w:val="24"/>
          <w:szCs w:val="24"/>
          <w:vertAlign w:val="subscript"/>
        </w:rPr>
        <w:t>3</w:t>
      </w:r>
      <w:r w:rsidRPr="00EA2567">
        <w:rPr>
          <w:sz w:val="24"/>
          <w:szCs w:val="24"/>
        </w:rPr>
        <w:t>N</w:t>
      </w:r>
      <w:r w:rsidRPr="00EA2567">
        <w:rPr>
          <w:sz w:val="24"/>
          <w:szCs w:val="24"/>
          <w:vertAlign w:val="subscript"/>
        </w:rPr>
        <w:t>4</w:t>
      </w:r>
      <w:r w:rsidRPr="00EA2567">
        <w:rPr>
          <w:sz w:val="24"/>
          <w:szCs w:val="24"/>
        </w:rPr>
        <w:t xml:space="preserve">.   In this experimental configuration, all pumping would be accomplished through a high-vacuum pump in series with the RGA, where all evolved gasses would pass by the filament of the RGA.  While this configuration may be the simplest, there exists a limitation for the total beam current which can pass through the thin film.  Thin film windows could degrade and fail under the presence of prolonged high-current beams.  </w:t>
      </w:r>
    </w:p>
    <w:p w:rsidR="00116BC8" w:rsidRDefault="00EA2567" w:rsidP="00116BC8">
      <w:pPr>
        <w:ind w:firstLine="720"/>
        <w:jc w:val="both"/>
        <w:rPr>
          <w:sz w:val="24"/>
          <w:szCs w:val="24"/>
        </w:rPr>
      </w:pPr>
      <w:r w:rsidRPr="00EA2567">
        <w:rPr>
          <w:sz w:val="24"/>
          <w:szCs w:val="24"/>
        </w:rPr>
        <w:t xml:space="preserve">A second option for quantifying the technique and increasing the sensitivity, could be the combination of a differentially pumped end-station and a calibrated leak.  A differentially pumped vacuum system, where the end-station pressure was below that of the beamline, would favor the collection of the majority of volatilized species.  This could be accomplished by increasing the pumping speed in the end-station and installing a restrictive orifice before the chamber.   A calibrated leak could additionally be used to determine what percentage of the gas is lost to the beam-line vacuum system. A correction factor based on the gas lost could then be used to quantify the data.   </w:t>
      </w:r>
    </w:p>
    <w:p w:rsidR="00EA2567" w:rsidRPr="00EA2567" w:rsidRDefault="00EA2567" w:rsidP="00116BC8">
      <w:pPr>
        <w:ind w:firstLine="720"/>
        <w:jc w:val="both"/>
        <w:rPr>
          <w:sz w:val="24"/>
          <w:szCs w:val="24"/>
        </w:rPr>
      </w:pPr>
      <w:r w:rsidRPr="00EA2567">
        <w:rPr>
          <w:sz w:val="24"/>
          <w:szCs w:val="24"/>
        </w:rPr>
        <w:t xml:space="preserve">To best eliminate mass inferences due to contaminates, dedicated small irradiation chambers which have been sufficiently cleaned and baked should be used.  Furthermore, irradiating a standard target which is unlikely to evolve any gasses over a range of temperatures could be used to set background values of contaminants in the system prior to actual irradiations.  The RGA in this experiment came with a channel electron multiplier which can increase the sensitivity of the instrument, but its functionality was not examined here.  However, it has a maximum operating pressure that depending on the volatility of the target, may limit its usage.  </w:t>
      </w:r>
    </w:p>
    <w:p w:rsidR="00EA2567" w:rsidRPr="00EA2567" w:rsidRDefault="00EA2567" w:rsidP="00BC796B">
      <w:pPr>
        <w:spacing w:before="240"/>
        <w:ind w:firstLine="720"/>
        <w:jc w:val="both"/>
        <w:rPr>
          <w:sz w:val="24"/>
          <w:szCs w:val="24"/>
        </w:rPr>
      </w:pPr>
      <w:r w:rsidRPr="00EA2567">
        <w:rPr>
          <w:sz w:val="24"/>
          <w:szCs w:val="24"/>
        </w:rPr>
        <w:t xml:space="preserve">The degree of volatilization in any target is determined by the compounds present, beam current used, and the ability of the target to conduct heat from the near surface.  Heat removal is dependent on the electronic properties of the material, size of the target, mounting mechanisms, beam size, and additional steps taken to remove heat (air, chilled water, etc.).  Materials possessing metallic bonding resist volatilization from ionization, and can conduct heat away from the beam spot to limit local temperature increases.  However, metals with lower vapor pressure, poor thermal conductivity, or those which have dramatic changes in the conductivity as the temperature increases may begin to exhibit volatilization. Non-metallic materials are more difficult to determine the nature of volatile product formation, as gasses can evolve from both ionization and heating.  Separating these effects is difficult, but could be resolved by cooling the target and using a sequence of low-flux irradiations with a more sensitive experimental geometry.  </w:t>
      </w:r>
    </w:p>
    <w:p w:rsidR="00BC796B" w:rsidRDefault="00EA2567" w:rsidP="00BC796B">
      <w:pPr>
        <w:spacing w:before="240"/>
        <w:ind w:firstLine="720"/>
        <w:jc w:val="both"/>
        <w:rPr>
          <w:sz w:val="24"/>
          <w:szCs w:val="24"/>
        </w:rPr>
      </w:pPr>
      <w:r w:rsidRPr="00EA2567">
        <w:rPr>
          <w:sz w:val="24"/>
          <w:szCs w:val="24"/>
        </w:rPr>
        <w:t>The cement and metal examples share a similar experimental context, as both materials are the subject of accelerated aging studies associated with neutron damage in nuclear reactors.  The flux of these two H</w:t>
      </w:r>
      <w:r w:rsidRPr="00EA2567">
        <w:rPr>
          <w:sz w:val="24"/>
          <w:szCs w:val="24"/>
          <w:vertAlign w:val="superscript"/>
        </w:rPr>
        <w:t>+</w:t>
      </w:r>
      <w:r w:rsidRPr="00EA2567">
        <w:rPr>
          <w:sz w:val="24"/>
          <w:szCs w:val="24"/>
        </w:rPr>
        <w:t xml:space="preserve"> ion irradiation experiments represent two extreme values.  The relatively lengthy time (1 hour) required for the initial pump down of the cement target to 1x10</w:t>
      </w:r>
      <w:r w:rsidRPr="00EA2567">
        <w:rPr>
          <w:sz w:val="24"/>
          <w:szCs w:val="24"/>
          <w:vertAlign w:val="superscript"/>
        </w:rPr>
        <w:t xml:space="preserve">-5 </w:t>
      </w:r>
      <w:r w:rsidRPr="00EA2567">
        <w:rPr>
          <w:sz w:val="24"/>
          <w:szCs w:val="24"/>
        </w:rPr>
        <w:t>Torr, as compared to the nickel (20 minutes) can be a pre-irradiation indicator of the relative sensitivity of the targets to flux.</w:t>
      </w:r>
    </w:p>
    <w:p w:rsidR="00BC796B" w:rsidRDefault="00EA2567" w:rsidP="00BC796B">
      <w:pPr>
        <w:spacing w:before="240"/>
        <w:ind w:firstLine="720"/>
        <w:jc w:val="both"/>
        <w:rPr>
          <w:sz w:val="24"/>
          <w:szCs w:val="24"/>
        </w:rPr>
      </w:pPr>
      <w:r w:rsidRPr="00EA2567">
        <w:rPr>
          <w:sz w:val="24"/>
          <w:szCs w:val="24"/>
        </w:rPr>
        <w:t>In the case of the sulfide experiments, currents above 3 µA resulted in pressures in the 10</w:t>
      </w:r>
      <w:r w:rsidRPr="00EA2567">
        <w:rPr>
          <w:sz w:val="24"/>
          <w:szCs w:val="24"/>
          <w:vertAlign w:val="superscript"/>
        </w:rPr>
        <w:t xml:space="preserve">-4 </w:t>
      </w:r>
      <w:r w:rsidRPr="00EA2567">
        <w:rPr>
          <w:sz w:val="24"/>
          <w:szCs w:val="24"/>
        </w:rPr>
        <w:t xml:space="preserve">range at the RGA.  These high pressures are beyond the upper operating limit of the RGA, and care should be taken during testing to determine maximum beam currents to be investigated.  Precautions should also be taken to isolate the RGA from the end-station during sample exchange in order to avoid filament exposure to low-vacuum or atmospheric conditions.  The filaments are extremely sensitive and costly to replace if damaged. </w:t>
      </w:r>
    </w:p>
    <w:p w:rsidR="00BC796B" w:rsidRPr="00EA2567" w:rsidRDefault="00BC796B" w:rsidP="00BC796B">
      <w:pPr>
        <w:spacing w:before="240"/>
        <w:ind w:firstLine="720"/>
        <w:jc w:val="both"/>
        <w:rPr>
          <w:sz w:val="24"/>
          <w:szCs w:val="24"/>
        </w:rPr>
      </w:pPr>
    </w:p>
    <w:p w:rsidR="00EA2567" w:rsidRPr="00EA2567" w:rsidRDefault="00EA2567" w:rsidP="00BC796B">
      <w:pPr>
        <w:pStyle w:val="ListParagraph"/>
        <w:numPr>
          <w:ilvl w:val="0"/>
          <w:numId w:val="5"/>
        </w:numPr>
        <w:spacing w:after="160"/>
        <w:jc w:val="both"/>
        <w:rPr>
          <w:rFonts w:cs="Times New Roman"/>
        </w:rPr>
      </w:pPr>
      <w:r w:rsidRPr="00EA2567">
        <w:rPr>
          <w:rFonts w:cs="Times New Roman"/>
        </w:rPr>
        <w:t xml:space="preserve">CONCLUSIONS </w:t>
      </w:r>
    </w:p>
    <w:p w:rsidR="00EA2567" w:rsidRPr="00EA2567" w:rsidRDefault="00EA2567" w:rsidP="00BC796B">
      <w:pPr>
        <w:spacing w:before="240"/>
        <w:ind w:firstLine="720"/>
        <w:jc w:val="both"/>
        <w:rPr>
          <w:sz w:val="24"/>
          <w:szCs w:val="24"/>
        </w:rPr>
      </w:pPr>
      <w:r w:rsidRPr="00EA2567">
        <w:rPr>
          <w:sz w:val="24"/>
          <w:szCs w:val="24"/>
        </w:rPr>
        <w:t xml:space="preserve">Ion irradiation experiments were conducted to demonstrate how a Residual Gas Analyzer (RGA) can be used to monitor the evolution of volatilization products as a function of irradiation conditions.  In many cases, volatilization of primary elemental or molecular constituents can be directly identified by the corresponding atomic mass as measured by the RGA.  However, care should be taken to account for compounds that may mass interfere; this includes diatomic molecules, multiple charge state ions, and other vacuum contaminates such as hydrocarbons.   While a major use for collecting RGA spectra during an irradiation could be to limit deleterious heating and ionization effects from high-beam currents, it is also ideal for tracking volatilization products from radiolysis and in scenarios that may mimic early solar system processes.  </w:t>
      </w:r>
    </w:p>
    <w:p w:rsidR="00EA2567" w:rsidRPr="00EA2567" w:rsidRDefault="00EA2567" w:rsidP="00BC796B">
      <w:pPr>
        <w:spacing w:before="240"/>
        <w:ind w:firstLine="720"/>
        <w:jc w:val="both"/>
        <w:rPr>
          <w:sz w:val="24"/>
          <w:szCs w:val="24"/>
        </w:rPr>
      </w:pPr>
      <w:r w:rsidRPr="00EA2567">
        <w:rPr>
          <w:sz w:val="24"/>
          <w:szCs w:val="24"/>
        </w:rPr>
        <w:t xml:space="preserve">Acknowledgments:  Special thanks to Dr. Miguel Crespillo for review of this work, as well as an unknown reviewer whom greatly added to the breadth of the manuscript.  </w:t>
      </w:r>
    </w:p>
    <w:p w:rsidR="00EA2567" w:rsidRPr="00EA2567" w:rsidRDefault="00EA2567" w:rsidP="00BC796B">
      <w:pPr>
        <w:spacing w:before="240"/>
        <w:ind w:firstLine="720"/>
        <w:jc w:val="both"/>
        <w:rPr>
          <w:sz w:val="24"/>
          <w:szCs w:val="24"/>
        </w:rPr>
      </w:pPr>
      <w:r w:rsidRPr="00EA2567">
        <w:rPr>
          <w:sz w:val="24"/>
          <w:szCs w:val="24"/>
        </w:rPr>
        <w:t>This work was partially supported by the U.S. Department of Energy, Office of Nuclear Energy under DOE Idaho Operations Office Contract DE-AC07-051D14517 as part of a Nuclear Science User Facilities experiment.</w:t>
      </w:r>
    </w:p>
    <w:p w:rsidR="00EA2567" w:rsidRPr="00EA2567" w:rsidRDefault="00EA2567" w:rsidP="00BC796B">
      <w:pPr>
        <w:jc w:val="both"/>
        <w:rPr>
          <w:sz w:val="24"/>
          <w:szCs w:val="24"/>
        </w:rPr>
      </w:pPr>
    </w:p>
    <w:p w:rsidR="00EA2567" w:rsidRPr="00EA2567" w:rsidRDefault="00EA2567" w:rsidP="00BC796B">
      <w:pPr>
        <w:jc w:val="both"/>
        <w:rPr>
          <w:sz w:val="24"/>
          <w:szCs w:val="24"/>
        </w:rPr>
      </w:pPr>
    </w:p>
    <w:p w:rsidR="00EA2567" w:rsidRPr="00EA2567" w:rsidRDefault="00EA2567" w:rsidP="00BC796B">
      <w:pPr>
        <w:pStyle w:val="EndNoteBibliography"/>
        <w:ind w:left="720" w:hanging="720"/>
        <w:jc w:val="both"/>
        <w:rPr>
          <w:sz w:val="24"/>
          <w:szCs w:val="24"/>
        </w:rPr>
      </w:pPr>
      <w:r w:rsidRPr="00EA2567">
        <w:rPr>
          <w:sz w:val="24"/>
          <w:szCs w:val="24"/>
        </w:rPr>
        <w:fldChar w:fldCharType="begin"/>
      </w:r>
      <w:r w:rsidRPr="00EA2567">
        <w:rPr>
          <w:sz w:val="24"/>
          <w:szCs w:val="24"/>
        </w:rPr>
        <w:instrText xml:space="preserve"> ADDIN EN.REFLIST </w:instrText>
      </w:r>
      <w:r w:rsidRPr="00EA2567">
        <w:rPr>
          <w:sz w:val="24"/>
          <w:szCs w:val="24"/>
        </w:rPr>
        <w:fldChar w:fldCharType="separate"/>
      </w:r>
      <w:r w:rsidRPr="00EA2567">
        <w:rPr>
          <w:sz w:val="24"/>
          <w:szCs w:val="24"/>
        </w:rPr>
        <w:t xml:space="preserve">Bazant Z. P. and Kaplan M. F. (1996) </w:t>
      </w:r>
      <w:r w:rsidRPr="00EA2567">
        <w:rPr>
          <w:i/>
          <w:sz w:val="24"/>
          <w:szCs w:val="24"/>
        </w:rPr>
        <w:t>Concrete at high temperatures: material properties and mathematical models</w:t>
      </w:r>
      <w:r w:rsidRPr="00EA2567">
        <w:rPr>
          <w:sz w:val="24"/>
          <w:szCs w:val="24"/>
        </w:rPr>
        <w:t>. Longman.</w:t>
      </w:r>
    </w:p>
    <w:p w:rsidR="00EA2567" w:rsidRPr="00EA2567" w:rsidRDefault="00EA2567" w:rsidP="00BC796B">
      <w:pPr>
        <w:pStyle w:val="EndNoteBibliography"/>
        <w:ind w:left="720" w:hanging="720"/>
        <w:jc w:val="both"/>
        <w:rPr>
          <w:sz w:val="24"/>
          <w:szCs w:val="24"/>
        </w:rPr>
      </w:pPr>
      <w:r w:rsidRPr="00EA2567">
        <w:rPr>
          <w:sz w:val="24"/>
          <w:szCs w:val="24"/>
        </w:rPr>
        <w:t xml:space="preserve">Bennett C. J., Pirim C., and Orlando T. M. (2013) Space-weathering of solar system bodies: a laboratory perspective. </w:t>
      </w:r>
      <w:r w:rsidRPr="00EA2567">
        <w:rPr>
          <w:i/>
          <w:sz w:val="24"/>
          <w:szCs w:val="24"/>
        </w:rPr>
        <w:t>Chemical reviews</w:t>
      </w:r>
      <w:r w:rsidRPr="00EA2567">
        <w:rPr>
          <w:sz w:val="24"/>
          <w:szCs w:val="24"/>
        </w:rPr>
        <w:t xml:space="preserve"> </w:t>
      </w:r>
      <w:r w:rsidRPr="00EA2567">
        <w:rPr>
          <w:b/>
          <w:sz w:val="24"/>
          <w:szCs w:val="24"/>
        </w:rPr>
        <w:t>113</w:t>
      </w:r>
      <w:r w:rsidRPr="00EA2567">
        <w:rPr>
          <w:sz w:val="24"/>
          <w:szCs w:val="24"/>
        </w:rPr>
        <w:t>(12), 9086-9150.</w:t>
      </w:r>
    </w:p>
    <w:p w:rsidR="00EA2567" w:rsidRPr="00EA2567" w:rsidRDefault="00EA2567" w:rsidP="00BC796B">
      <w:pPr>
        <w:pStyle w:val="EndNoteBibliography"/>
        <w:ind w:left="720" w:hanging="720"/>
        <w:jc w:val="both"/>
        <w:rPr>
          <w:sz w:val="24"/>
          <w:szCs w:val="24"/>
        </w:rPr>
      </w:pPr>
      <w:r w:rsidRPr="00EA2567">
        <w:rPr>
          <w:sz w:val="24"/>
          <w:szCs w:val="24"/>
        </w:rPr>
        <w:t xml:space="preserve">Bibler N. E. and Orebaugh E. G. (1976) Iron-catalyzed dissolution of polystyrenesulfonate cation-exchange resin in hydrogen peroxide. </w:t>
      </w:r>
      <w:r w:rsidRPr="00EA2567">
        <w:rPr>
          <w:i/>
          <w:sz w:val="24"/>
          <w:szCs w:val="24"/>
        </w:rPr>
        <w:t>Industrial &amp; Engineering Chemistry Product Research and Development</w:t>
      </w:r>
      <w:r w:rsidRPr="00EA2567">
        <w:rPr>
          <w:sz w:val="24"/>
          <w:szCs w:val="24"/>
        </w:rPr>
        <w:t xml:space="preserve"> </w:t>
      </w:r>
      <w:r w:rsidRPr="00EA2567">
        <w:rPr>
          <w:b/>
          <w:sz w:val="24"/>
          <w:szCs w:val="24"/>
        </w:rPr>
        <w:t>15</w:t>
      </w:r>
      <w:r w:rsidRPr="00EA2567">
        <w:rPr>
          <w:sz w:val="24"/>
          <w:szCs w:val="24"/>
        </w:rPr>
        <w:t>(2), 136-138.</w:t>
      </w:r>
    </w:p>
    <w:p w:rsidR="00EA2567" w:rsidRPr="00EA2567" w:rsidRDefault="00EA2567" w:rsidP="00BC796B">
      <w:pPr>
        <w:pStyle w:val="EndNoteBibliography"/>
        <w:ind w:left="720" w:hanging="720"/>
        <w:jc w:val="both"/>
        <w:rPr>
          <w:sz w:val="24"/>
          <w:szCs w:val="24"/>
        </w:rPr>
      </w:pPr>
      <w:r w:rsidRPr="00EA2567">
        <w:rPr>
          <w:sz w:val="24"/>
          <w:szCs w:val="24"/>
        </w:rPr>
        <w:t xml:space="preserve">Feigelson E. D., Garmire G. P., and Pravdo S. H. (2002) Magnetic flaring in the pre-main-sequence Sun and implications for the early Solar System. </w:t>
      </w:r>
      <w:r w:rsidRPr="00EA2567">
        <w:rPr>
          <w:i/>
          <w:sz w:val="24"/>
          <w:szCs w:val="24"/>
        </w:rPr>
        <w:t>The Astrophysical Journal</w:t>
      </w:r>
      <w:r w:rsidRPr="00EA2567">
        <w:rPr>
          <w:sz w:val="24"/>
          <w:szCs w:val="24"/>
        </w:rPr>
        <w:t xml:space="preserve"> </w:t>
      </w:r>
      <w:r w:rsidRPr="00EA2567">
        <w:rPr>
          <w:b/>
          <w:sz w:val="24"/>
          <w:szCs w:val="24"/>
        </w:rPr>
        <w:t>572</w:t>
      </w:r>
      <w:r w:rsidRPr="00EA2567">
        <w:rPr>
          <w:sz w:val="24"/>
          <w:szCs w:val="24"/>
        </w:rPr>
        <w:t>(1), 335-349.</w:t>
      </w:r>
    </w:p>
    <w:p w:rsidR="00EA2567" w:rsidRPr="00EA2567" w:rsidRDefault="00EA2567" w:rsidP="00BC796B">
      <w:pPr>
        <w:pStyle w:val="EndNoteBibliography"/>
        <w:ind w:left="720" w:hanging="720"/>
        <w:jc w:val="both"/>
        <w:rPr>
          <w:sz w:val="24"/>
          <w:szCs w:val="24"/>
        </w:rPr>
      </w:pPr>
      <w:r w:rsidRPr="00EA2567">
        <w:rPr>
          <w:sz w:val="24"/>
          <w:szCs w:val="24"/>
        </w:rPr>
        <w:t xml:space="preserve">Field K. G., Remec I., and Le Pape Y. (2015) Radiation effects in concrete for nuclear power plants–Part I: Quantification of radiation exposure and radiation effects. </w:t>
      </w:r>
      <w:r w:rsidRPr="00EA2567">
        <w:rPr>
          <w:i/>
          <w:sz w:val="24"/>
          <w:szCs w:val="24"/>
        </w:rPr>
        <w:t>Nuclear Engineering and Design</w:t>
      </w:r>
      <w:r w:rsidRPr="00EA2567">
        <w:rPr>
          <w:sz w:val="24"/>
          <w:szCs w:val="24"/>
        </w:rPr>
        <w:t xml:space="preserve"> </w:t>
      </w:r>
      <w:r w:rsidRPr="00EA2567">
        <w:rPr>
          <w:b/>
          <w:sz w:val="24"/>
          <w:szCs w:val="24"/>
        </w:rPr>
        <w:t>282</w:t>
      </w:r>
      <w:r w:rsidRPr="00EA2567">
        <w:rPr>
          <w:sz w:val="24"/>
          <w:szCs w:val="24"/>
        </w:rPr>
        <w:t>, 126-143.</w:t>
      </w:r>
    </w:p>
    <w:p w:rsidR="00EA2567" w:rsidRPr="00EA2567" w:rsidRDefault="00EA2567" w:rsidP="00BC796B">
      <w:pPr>
        <w:pStyle w:val="EndNoteBibliography"/>
        <w:ind w:left="720" w:hanging="720"/>
        <w:jc w:val="both"/>
        <w:rPr>
          <w:sz w:val="24"/>
          <w:szCs w:val="24"/>
        </w:rPr>
      </w:pPr>
      <w:r w:rsidRPr="00EA2567">
        <w:rPr>
          <w:sz w:val="24"/>
          <w:szCs w:val="24"/>
        </w:rPr>
        <w:t xml:space="preserve">Fisher G. L., Lakis R. E., Davis C. C., Szakal C., Swadener J. G., Wetteland C. J., and Winograd N. (2006) Mechanical properties and the evolution of matrix molecules in PTFE upon irradiation with MeV alpha particles. </w:t>
      </w:r>
      <w:r w:rsidRPr="00EA2567">
        <w:rPr>
          <w:i/>
          <w:sz w:val="24"/>
          <w:szCs w:val="24"/>
        </w:rPr>
        <w:t>Applied Surface Science</w:t>
      </w:r>
      <w:r w:rsidRPr="00EA2567">
        <w:rPr>
          <w:sz w:val="24"/>
          <w:szCs w:val="24"/>
        </w:rPr>
        <w:t xml:space="preserve"> </w:t>
      </w:r>
      <w:r w:rsidRPr="00EA2567">
        <w:rPr>
          <w:b/>
          <w:sz w:val="24"/>
          <w:szCs w:val="24"/>
        </w:rPr>
        <w:t>253</w:t>
      </w:r>
      <w:r w:rsidRPr="00EA2567">
        <w:rPr>
          <w:sz w:val="24"/>
          <w:szCs w:val="24"/>
        </w:rPr>
        <w:t>(3), 1330-1342.</w:t>
      </w:r>
    </w:p>
    <w:p w:rsidR="00EA2567" w:rsidRPr="00EA2567" w:rsidRDefault="00EA2567" w:rsidP="00BC796B">
      <w:pPr>
        <w:pStyle w:val="EndNoteBibliography"/>
        <w:ind w:left="720" w:hanging="720"/>
        <w:jc w:val="both"/>
        <w:rPr>
          <w:sz w:val="24"/>
          <w:szCs w:val="24"/>
        </w:rPr>
      </w:pPr>
      <w:r w:rsidRPr="00EA2567">
        <w:rPr>
          <w:sz w:val="24"/>
          <w:szCs w:val="24"/>
        </w:rPr>
        <w:t xml:space="preserve">Goldberg R., Williams J., and Elliman R. (1995) Amorphization of silicon by elevated temperature ion irradiation. </w:t>
      </w:r>
      <w:r w:rsidRPr="00EA2567">
        <w:rPr>
          <w:i/>
          <w:sz w:val="24"/>
          <w:szCs w:val="24"/>
        </w:rPr>
        <w:t>Nuclear Instruments and Methods in Physics Research Section B: Beam Interactions with Materials and Atoms</w:t>
      </w:r>
      <w:r w:rsidRPr="00EA2567">
        <w:rPr>
          <w:sz w:val="24"/>
          <w:szCs w:val="24"/>
        </w:rPr>
        <w:t xml:space="preserve"> </w:t>
      </w:r>
      <w:r w:rsidRPr="00EA2567">
        <w:rPr>
          <w:b/>
          <w:sz w:val="24"/>
          <w:szCs w:val="24"/>
        </w:rPr>
        <w:t>106</w:t>
      </w:r>
      <w:r w:rsidRPr="00EA2567">
        <w:rPr>
          <w:sz w:val="24"/>
          <w:szCs w:val="24"/>
        </w:rPr>
        <w:t>(1-4), 242-247.</w:t>
      </w:r>
    </w:p>
    <w:p w:rsidR="00EA2567" w:rsidRPr="00EA2567" w:rsidRDefault="00EA2567" w:rsidP="00BC796B">
      <w:pPr>
        <w:pStyle w:val="EndNoteBibliography"/>
        <w:ind w:left="720" w:hanging="720"/>
        <w:jc w:val="both"/>
        <w:rPr>
          <w:sz w:val="24"/>
          <w:szCs w:val="24"/>
        </w:rPr>
      </w:pPr>
      <w:r w:rsidRPr="00EA2567">
        <w:rPr>
          <w:sz w:val="24"/>
          <w:szCs w:val="24"/>
        </w:rPr>
        <w:t>Hanks C. and Hamman D. (1971) Radiation Effects Design Handbook. Section 3. Electrical Insulating Materials and Capacitors. DTIC Document.</w:t>
      </w:r>
    </w:p>
    <w:p w:rsidR="00EA2567" w:rsidRPr="00EA2567" w:rsidRDefault="00EA2567" w:rsidP="00BC796B">
      <w:pPr>
        <w:pStyle w:val="EndNoteBibliography"/>
        <w:ind w:left="720" w:hanging="720"/>
        <w:jc w:val="both"/>
        <w:rPr>
          <w:sz w:val="24"/>
          <w:szCs w:val="24"/>
        </w:rPr>
      </w:pPr>
      <w:r w:rsidRPr="00EA2567">
        <w:rPr>
          <w:sz w:val="24"/>
          <w:szCs w:val="24"/>
        </w:rPr>
        <w:t xml:space="preserve">Hegazy E.-S. A., Sasuga T., Nishii M., and Seguchi T. (1992) Irradiation effects on aromatic polymers: 1. Gas evolution by gamma irradiation. </w:t>
      </w:r>
      <w:r w:rsidRPr="00EA2567">
        <w:rPr>
          <w:i/>
          <w:sz w:val="24"/>
          <w:szCs w:val="24"/>
        </w:rPr>
        <w:t>Polymer</w:t>
      </w:r>
      <w:r w:rsidRPr="00EA2567">
        <w:rPr>
          <w:sz w:val="24"/>
          <w:szCs w:val="24"/>
        </w:rPr>
        <w:t xml:space="preserve"> </w:t>
      </w:r>
      <w:r w:rsidRPr="00EA2567">
        <w:rPr>
          <w:b/>
          <w:sz w:val="24"/>
          <w:szCs w:val="24"/>
        </w:rPr>
        <w:t>33</w:t>
      </w:r>
      <w:r w:rsidRPr="00EA2567">
        <w:rPr>
          <w:sz w:val="24"/>
          <w:szCs w:val="24"/>
        </w:rPr>
        <w:t>(14), 2897-2903.</w:t>
      </w:r>
    </w:p>
    <w:p w:rsidR="00EA2567" w:rsidRPr="00EA2567" w:rsidRDefault="00EA2567" w:rsidP="00BC796B">
      <w:pPr>
        <w:pStyle w:val="EndNoteBibliography"/>
        <w:ind w:left="720" w:hanging="720"/>
        <w:jc w:val="both"/>
        <w:rPr>
          <w:sz w:val="24"/>
          <w:szCs w:val="24"/>
        </w:rPr>
      </w:pPr>
      <w:r w:rsidRPr="00EA2567">
        <w:rPr>
          <w:sz w:val="24"/>
          <w:szCs w:val="24"/>
        </w:rPr>
        <w:t xml:space="preserve">Honig R. E. and Kramer D. A. (1969) Vapor-pressure data for the solid and liquid elements. </w:t>
      </w:r>
      <w:r w:rsidRPr="00EA2567">
        <w:rPr>
          <w:i/>
          <w:sz w:val="24"/>
          <w:szCs w:val="24"/>
        </w:rPr>
        <w:t>RCA Review</w:t>
      </w:r>
      <w:r w:rsidRPr="00EA2567">
        <w:rPr>
          <w:sz w:val="24"/>
          <w:szCs w:val="24"/>
        </w:rPr>
        <w:t xml:space="preserve"> </w:t>
      </w:r>
      <w:r w:rsidRPr="00EA2567">
        <w:rPr>
          <w:b/>
          <w:sz w:val="24"/>
          <w:szCs w:val="24"/>
        </w:rPr>
        <w:t>30</w:t>
      </w:r>
      <w:r w:rsidRPr="00EA2567">
        <w:rPr>
          <w:sz w:val="24"/>
          <w:szCs w:val="24"/>
        </w:rPr>
        <w:t>, 285-305.</w:t>
      </w:r>
    </w:p>
    <w:p w:rsidR="00EA2567" w:rsidRPr="00EA2567" w:rsidRDefault="00EA2567" w:rsidP="00BC796B">
      <w:pPr>
        <w:pStyle w:val="EndNoteBibliography"/>
        <w:ind w:left="720" w:hanging="720"/>
        <w:jc w:val="both"/>
        <w:rPr>
          <w:sz w:val="24"/>
          <w:szCs w:val="24"/>
        </w:rPr>
      </w:pPr>
      <w:r w:rsidRPr="00EA2567">
        <w:rPr>
          <w:sz w:val="24"/>
          <w:szCs w:val="24"/>
        </w:rPr>
        <w:t xml:space="preserve">Kuznetsov A. Y., Wong-Leung J., Hallén A., Jagadish C., and Svensson B. (2003) Dynamic annealing in ion implanted SiC: Flux versus temperature dependence. </w:t>
      </w:r>
      <w:r w:rsidRPr="00EA2567">
        <w:rPr>
          <w:i/>
          <w:sz w:val="24"/>
          <w:szCs w:val="24"/>
        </w:rPr>
        <w:t>Journal of applied physics</w:t>
      </w:r>
      <w:r w:rsidRPr="00EA2567">
        <w:rPr>
          <w:sz w:val="24"/>
          <w:szCs w:val="24"/>
        </w:rPr>
        <w:t xml:space="preserve"> </w:t>
      </w:r>
      <w:r w:rsidRPr="00EA2567">
        <w:rPr>
          <w:b/>
          <w:sz w:val="24"/>
          <w:szCs w:val="24"/>
        </w:rPr>
        <w:t>94</w:t>
      </w:r>
      <w:r w:rsidRPr="00EA2567">
        <w:rPr>
          <w:sz w:val="24"/>
          <w:szCs w:val="24"/>
        </w:rPr>
        <w:t>(11), 7112-7115.</w:t>
      </w:r>
    </w:p>
    <w:p w:rsidR="00EA2567" w:rsidRPr="00EA2567" w:rsidRDefault="00EA2567" w:rsidP="00BC796B">
      <w:pPr>
        <w:pStyle w:val="EndNoteBibliography"/>
        <w:ind w:left="720" w:hanging="720"/>
        <w:jc w:val="both"/>
        <w:rPr>
          <w:sz w:val="24"/>
          <w:szCs w:val="24"/>
        </w:rPr>
      </w:pPr>
      <w:r w:rsidRPr="00EA2567">
        <w:rPr>
          <w:sz w:val="24"/>
          <w:szCs w:val="24"/>
        </w:rPr>
        <w:t xml:space="preserve">Le Pape Y., Field K. G., and Remec I. (2015) Radiation effects in concrete for nuclear power plants, Part II: Perspective from micromechanical modeling. </w:t>
      </w:r>
      <w:r w:rsidRPr="00EA2567">
        <w:rPr>
          <w:i/>
          <w:sz w:val="24"/>
          <w:szCs w:val="24"/>
        </w:rPr>
        <w:t>Nuclear Engineering and Design</w:t>
      </w:r>
      <w:r w:rsidRPr="00EA2567">
        <w:rPr>
          <w:sz w:val="24"/>
          <w:szCs w:val="24"/>
        </w:rPr>
        <w:t xml:space="preserve"> </w:t>
      </w:r>
      <w:r w:rsidRPr="00EA2567">
        <w:rPr>
          <w:b/>
          <w:sz w:val="24"/>
          <w:szCs w:val="24"/>
        </w:rPr>
        <w:t>282</w:t>
      </w:r>
      <w:r w:rsidRPr="00EA2567">
        <w:rPr>
          <w:sz w:val="24"/>
          <w:szCs w:val="24"/>
        </w:rPr>
        <w:t>, 144-157.</w:t>
      </w:r>
    </w:p>
    <w:p w:rsidR="00EA2567" w:rsidRPr="00EA2567" w:rsidRDefault="00EA2567" w:rsidP="00BC796B">
      <w:pPr>
        <w:pStyle w:val="EndNoteBibliography"/>
        <w:ind w:left="720" w:hanging="720"/>
        <w:jc w:val="both"/>
        <w:rPr>
          <w:sz w:val="24"/>
          <w:szCs w:val="24"/>
        </w:rPr>
      </w:pPr>
      <w:r w:rsidRPr="00EA2567">
        <w:rPr>
          <w:sz w:val="24"/>
          <w:szCs w:val="24"/>
        </w:rPr>
        <w:t xml:space="preserve">Lewis M. and Lee E. (1991) Residual gas and ion-beam analysis of ion-irradiated polymers. </w:t>
      </w:r>
      <w:r w:rsidRPr="00EA2567">
        <w:rPr>
          <w:i/>
          <w:sz w:val="24"/>
          <w:szCs w:val="24"/>
        </w:rPr>
        <w:t>Nuclear Instruments and Methods in Physics Research Section B: Beam Interactions with Materials and Atoms</w:t>
      </w:r>
      <w:r w:rsidRPr="00EA2567">
        <w:rPr>
          <w:sz w:val="24"/>
          <w:szCs w:val="24"/>
        </w:rPr>
        <w:t xml:space="preserve"> </w:t>
      </w:r>
      <w:r w:rsidRPr="00EA2567">
        <w:rPr>
          <w:b/>
          <w:sz w:val="24"/>
          <w:szCs w:val="24"/>
        </w:rPr>
        <w:t>61</w:t>
      </w:r>
      <w:r w:rsidRPr="00EA2567">
        <w:rPr>
          <w:sz w:val="24"/>
          <w:szCs w:val="24"/>
        </w:rPr>
        <w:t>(4), 457-465.</w:t>
      </w:r>
    </w:p>
    <w:p w:rsidR="00EA2567" w:rsidRPr="00EA2567" w:rsidRDefault="00EA2567" w:rsidP="00BC796B">
      <w:pPr>
        <w:pStyle w:val="EndNoteBibliography"/>
        <w:ind w:left="720" w:hanging="720"/>
        <w:jc w:val="both"/>
        <w:rPr>
          <w:sz w:val="24"/>
          <w:szCs w:val="24"/>
        </w:rPr>
      </w:pPr>
      <w:r w:rsidRPr="00EA2567">
        <w:rPr>
          <w:sz w:val="24"/>
          <w:szCs w:val="24"/>
        </w:rPr>
        <w:t xml:space="preserve">Mazey D. (1990) Fundamental aspects of high-energy ion-beam simulation techniques and their relevance to fusion materials studies. </w:t>
      </w:r>
      <w:r w:rsidRPr="00EA2567">
        <w:rPr>
          <w:i/>
          <w:sz w:val="24"/>
          <w:szCs w:val="24"/>
        </w:rPr>
        <w:t>Journal of nuclear materials</w:t>
      </w:r>
      <w:r w:rsidRPr="00EA2567">
        <w:rPr>
          <w:sz w:val="24"/>
          <w:szCs w:val="24"/>
        </w:rPr>
        <w:t xml:space="preserve"> </w:t>
      </w:r>
      <w:r w:rsidRPr="00EA2567">
        <w:rPr>
          <w:b/>
          <w:sz w:val="24"/>
          <w:szCs w:val="24"/>
        </w:rPr>
        <w:t>174</w:t>
      </w:r>
      <w:r w:rsidRPr="00EA2567">
        <w:rPr>
          <w:sz w:val="24"/>
          <w:szCs w:val="24"/>
        </w:rPr>
        <w:t>(2), 196-209.</w:t>
      </w:r>
    </w:p>
    <w:p w:rsidR="00EA2567" w:rsidRPr="00EA2567" w:rsidRDefault="00EA2567" w:rsidP="00BC796B">
      <w:pPr>
        <w:pStyle w:val="EndNoteBibliography"/>
        <w:ind w:left="720" w:hanging="720"/>
        <w:jc w:val="both"/>
        <w:rPr>
          <w:sz w:val="24"/>
          <w:szCs w:val="24"/>
        </w:rPr>
      </w:pPr>
      <w:r w:rsidRPr="00EA2567">
        <w:rPr>
          <w:sz w:val="24"/>
          <w:szCs w:val="24"/>
        </w:rPr>
        <w:t xml:space="preserve">Megusar J. (1997) Low temperature fast-neutron and gamma irradiation of Kapton® polyimide films. </w:t>
      </w:r>
      <w:r w:rsidRPr="00EA2567">
        <w:rPr>
          <w:i/>
          <w:sz w:val="24"/>
          <w:szCs w:val="24"/>
        </w:rPr>
        <w:t>Journal of nuclear materials</w:t>
      </w:r>
      <w:r w:rsidRPr="00EA2567">
        <w:rPr>
          <w:sz w:val="24"/>
          <w:szCs w:val="24"/>
        </w:rPr>
        <w:t xml:space="preserve"> </w:t>
      </w:r>
      <w:r w:rsidRPr="00EA2567">
        <w:rPr>
          <w:b/>
          <w:sz w:val="24"/>
          <w:szCs w:val="24"/>
        </w:rPr>
        <w:t>245</w:t>
      </w:r>
      <w:r w:rsidRPr="00EA2567">
        <w:rPr>
          <w:sz w:val="24"/>
          <w:szCs w:val="24"/>
        </w:rPr>
        <w:t>(2-3), 185-190.</w:t>
      </w:r>
    </w:p>
    <w:p w:rsidR="00EA2567" w:rsidRPr="00EA2567" w:rsidRDefault="00EA2567" w:rsidP="00BC796B">
      <w:pPr>
        <w:pStyle w:val="EndNoteBibliography"/>
        <w:ind w:left="720" w:hanging="720"/>
        <w:jc w:val="both"/>
        <w:rPr>
          <w:sz w:val="24"/>
          <w:szCs w:val="24"/>
        </w:rPr>
      </w:pPr>
      <w:r w:rsidRPr="00EA2567">
        <w:rPr>
          <w:sz w:val="24"/>
          <w:szCs w:val="24"/>
        </w:rPr>
        <w:t>Naab F., West E., Toader O., Was G., McDaniel F. D., and Doyle B. L. (2011) Conducting Well</w:t>
      </w:r>
      <w:r w:rsidRPr="00EA2567">
        <w:rPr>
          <w:rFonts w:ascii="Cambria Math" w:hAnsi="Cambria Math" w:cs="Cambria Math"/>
          <w:sz w:val="24"/>
          <w:szCs w:val="24"/>
        </w:rPr>
        <w:t>‐</w:t>
      </w:r>
      <w:r w:rsidRPr="00EA2567">
        <w:rPr>
          <w:sz w:val="24"/>
          <w:szCs w:val="24"/>
        </w:rPr>
        <w:t xml:space="preserve">Controlled Ion Irradiations To Understand Neutron Irradiation Effects In Materials. In </w:t>
      </w:r>
      <w:r w:rsidRPr="00EA2567">
        <w:rPr>
          <w:i/>
          <w:sz w:val="24"/>
          <w:szCs w:val="24"/>
        </w:rPr>
        <w:t>AIP Conference Proceedings</w:t>
      </w:r>
      <w:r w:rsidRPr="00EA2567">
        <w:rPr>
          <w:sz w:val="24"/>
          <w:szCs w:val="24"/>
        </w:rPr>
        <w:t>, pp. 325-331. AIP.</w:t>
      </w:r>
    </w:p>
    <w:p w:rsidR="00EA2567" w:rsidRPr="00EA2567" w:rsidRDefault="00EA2567" w:rsidP="00BC796B">
      <w:pPr>
        <w:pStyle w:val="EndNoteBibliography"/>
        <w:ind w:left="720" w:hanging="720"/>
        <w:jc w:val="both"/>
        <w:rPr>
          <w:sz w:val="24"/>
          <w:szCs w:val="24"/>
        </w:rPr>
      </w:pPr>
      <w:r w:rsidRPr="00EA2567">
        <w:rPr>
          <w:sz w:val="24"/>
          <w:szCs w:val="24"/>
        </w:rPr>
        <w:t xml:space="preserve">Pelaz L., Marqués L. A., and Barbolla J. (2004) Ion-beam-induced amorphization and recrystallization in silicon. </w:t>
      </w:r>
      <w:r w:rsidRPr="00EA2567">
        <w:rPr>
          <w:i/>
          <w:sz w:val="24"/>
          <w:szCs w:val="24"/>
        </w:rPr>
        <w:t>Journal of applied physics</w:t>
      </w:r>
      <w:r w:rsidRPr="00EA2567">
        <w:rPr>
          <w:sz w:val="24"/>
          <w:szCs w:val="24"/>
        </w:rPr>
        <w:t xml:space="preserve"> </w:t>
      </w:r>
      <w:r w:rsidRPr="00EA2567">
        <w:rPr>
          <w:b/>
          <w:sz w:val="24"/>
          <w:szCs w:val="24"/>
        </w:rPr>
        <w:t>96</w:t>
      </w:r>
      <w:r w:rsidRPr="00EA2567">
        <w:rPr>
          <w:sz w:val="24"/>
          <w:szCs w:val="24"/>
        </w:rPr>
        <w:t>(11), 5947-5976.</w:t>
      </w:r>
    </w:p>
    <w:p w:rsidR="00EA2567" w:rsidRPr="00EA2567" w:rsidRDefault="00EA2567" w:rsidP="00BC796B">
      <w:pPr>
        <w:pStyle w:val="EndNoteBibliography"/>
        <w:ind w:left="720" w:hanging="720"/>
        <w:jc w:val="both"/>
        <w:rPr>
          <w:sz w:val="24"/>
          <w:szCs w:val="24"/>
        </w:rPr>
      </w:pPr>
      <w:r w:rsidRPr="00EA2567">
        <w:rPr>
          <w:sz w:val="24"/>
          <w:szCs w:val="24"/>
        </w:rPr>
        <w:t xml:space="preserve">Pugmire D. L., Wetteland C. J., Duncan W. S., Lakis R. E., and Schwartz D. S. (2009) Cross-linking of polytetrafluoroethylene during room-temperature irradiation. </w:t>
      </w:r>
      <w:r w:rsidRPr="00EA2567">
        <w:rPr>
          <w:i/>
          <w:sz w:val="24"/>
          <w:szCs w:val="24"/>
        </w:rPr>
        <w:t>Polymer Degradation and Stability</w:t>
      </w:r>
      <w:r w:rsidRPr="00EA2567">
        <w:rPr>
          <w:sz w:val="24"/>
          <w:szCs w:val="24"/>
        </w:rPr>
        <w:t xml:space="preserve"> </w:t>
      </w:r>
      <w:r w:rsidRPr="00EA2567">
        <w:rPr>
          <w:b/>
          <w:sz w:val="24"/>
          <w:szCs w:val="24"/>
        </w:rPr>
        <w:t>94</w:t>
      </w:r>
      <w:r w:rsidRPr="00EA2567">
        <w:rPr>
          <w:sz w:val="24"/>
          <w:szCs w:val="24"/>
        </w:rPr>
        <w:t>(9), 1533-1541.</w:t>
      </w:r>
    </w:p>
    <w:p w:rsidR="00EA2567" w:rsidRPr="00EA2567" w:rsidRDefault="00EA2567" w:rsidP="00BC796B">
      <w:pPr>
        <w:pStyle w:val="EndNoteBibliography"/>
        <w:ind w:left="720" w:hanging="720"/>
        <w:jc w:val="both"/>
        <w:rPr>
          <w:sz w:val="24"/>
          <w:szCs w:val="24"/>
        </w:rPr>
      </w:pPr>
      <w:r w:rsidRPr="00EA2567">
        <w:rPr>
          <w:sz w:val="24"/>
          <w:szCs w:val="24"/>
        </w:rPr>
        <w:t>Reedy R. and Arnold J. (1972) Interaction of solar and galactic cosmic</w:t>
      </w:r>
      <w:r w:rsidRPr="00EA2567">
        <w:rPr>
          <w:rFonts w:ascii="Cambria Math" w:hAnsi="Cambria Math" w:cs="Cambria Math"/>
          <w:sz w:val="24"/>
          <w:szCs w:val="24"/>
        </w:rPr>
        <w:t>‐</w:t>
      </w:r>
      <w:r w:rsidRPr="00EA2567">
        <w:rPr>
          <w:sz w:val="24"/>
          <w:szCs w:val="24"/>
        </w:rPr>
        <w:t xml:space="preserve">ray particles with the Moon. </w:t>
      </w:r>
      <w:r w:rsidRPr="00EA2567">
        <w:rPr>
          <w:i/>
          <w:sz w:val="24"/>
          <w:szCs w:val="24"/>
        </w:rPr>
        <w:t>Journal of Geophysical Research</w:t>
      </w:r>
      <w:r w:rsidRPr="00EA2567">
        <w:rPr>
          <w:sz w:val="24"/>
          <w:szCs w:val="24"/>
        </w:rPr>
        <w:t xml:space="preserve"> </w:t>
      </w:r>
      <w:r w:rsidRPr="00EA2567">
        <w:rPr>
          <w:b/>
          <w:sz w:val="24"/>
          <w:szCs w:val="24"/>
        </w:rPr>
        <w:t>77</w:t>
      </w:r>
      <w:r w:rsidRPr="00EA2567">
        <w:rPr>
          <w:sz w:val="24"/>
          <w:szCs w:val="24"/>
        </w:rPr>
        <w:t>(4), 537-555.</w:t>
      </w:r>
    </w:p>
    <w:p w:rsidR="00EA2567" w:rsidRPr="00EA2567" w:rsidRDefault="00EA2567" w:rsidP="00BC796B">
      <w:pPr>
        <w:pStyle w:val="EndNoteBibliography"/>
        <w:ind w:left="720" w:hanging="720"/>
        <w:jc w:val="both"/>
        <w:rPr>
          <w:sz w:val="24"/>
          <w:szCs w:val="24"/>
        </w:rPr>
      </w:pPr>
      <w:r w:rsidRPr="00EA2567">
        <w:rPr>
          <w:sz w:val="24"/>
          <w:szCs w:val="24"/>
        </w:rPr>
        <w:t>Siskind B. (1992) Gas Generation from Low-Level Waste: Concerns for Disposal. Report No. BNL-NUREG-47144, Brookhaven National Laboratory.</w:t>
      </w:r>
    </w:p>
    <w:p w:rsidR="00EA2567" w:rsidRPr="00EA2567" w:rsidRDefault="00EA2567" w:rsidP="00BC796B">
      <w:pPr>
        <w:pStyle w:val="EndNoteBibliography"/>
        <w:ind w:left="720" w:hanging="720"/>
        <w:jc w:val="both"/>
        <w:rPr>
          <w:sz w:val="24"/>
          <w:szCs w:val="24"/>
        </w:rPr>
      </w:pPr>
      <w:r w:rsidRPr="00EA2567">
        <w:rPr>
          <w:sz w:val="24"/>
          <w:szCs w:val="24"/>
        </w:rPr>
        <w:t xml:space="preserve">Weber W., Mansur L., Clinard F., and Parkin D. (1991) Radiation effects on materials in high-radiation environments: A workshop summary. </w:t>
      </w:r>
      <w:r w:rsidRPr="00EA2567">
        <w:rPr>
          <w:i/>
          <w:sz w:val="24"/>
          <w:szCs w:val="24"/>
        </w:rPr>
        <w:t>Journal of nuclear materials</w:t>
      </w:r>
      <w:r w:rsidRPr="00EA2567">
        <w:rPr>
          <w:sz w:val="24"/>
          <w:szCs w:val="24"/>
        </w:rPr>
        <w:t xml:space="preserve"> </w:t>
      </w:r>
      <w:r w:rsidRPr="00EA2567">
        <w:rPr>
          <w:b/>
          <w:sz w:val="24"/>
          <w:szCs w:val="24"/>
        </w:rPr>
        <w:t>184</w:t>
      </w:r>
      <w:r w:rsidRPr="00EA2567">
        <w:rPr>
          <w:sz w:val="24"/>
          <w:szCs w:val="24"/>
        </w:rPr>
        <w:t>(1), 1-21.</w:t>
      </w:r>
    </w:p>
    <w:p w:rsidR="00EA2567" w:rsidRPr="00EA2567" w:rsidRDefault="00EA2567" w:rsidP="00BC796B">
      <w:pPr>
        <w:pStyle w:val="EndNoteBibliography"/>
        <w:ind w:left="720" w:hanging="720"/>
        <w:jc w:val="both"/>
        <w:rPr>
          <w:sz w:val="24"/>
          <w:szCs w:val="24"/>
        </w:rPr>
      </w:pPr>
      <w:r w:rsidRPr="00EA2567">
        <w:rPr>
          <w:sz w:val="24"/>
          <w:szCs w:val="24"/>
        </w:rPr>
        <w:t xml:space="preserve">Wetteland C., Gosnell G., Hollander M., Tesmer J., Mooday R., and Wang Y. (2006) Ion beam irradiation of polytetrafluroethylene-loaded polyetheretherketone. </w:t>
      </w:r>
      <w:r w:rsidRPr="00EA2567">
        <w:rPr>
          <w:i/>
          <w:sz w:val="24"/>
          <w:szCs w:val="24"/>
        </w:rPr>
        <w:t>Nuclear Instruments and Methods in Physics Research Section B: Beam Interactions with Materials and Atoms</w:t>
      </w:r>
      <w:r w:rsidRPr="00EA2567">
        <w:rPr>
          <w:sz w:val="24"/>
          <w:szCs w:val="24"/>
        </w:rPr>
        <w:t xml:space="preserve"> </w:t>
      </w:r>
      <w:r w:rsidRPr="00EA2567">
        <w:rPr>
          <w:b/>
          <w:sz w:val="24"/>
          <w:szCs w:val="24"/>
        </w:rPr>
        <w:t>250</w:t>
      </w:r>
      <w:r w:rsidRPr="00EA2567">
        <w:rPr>
          <w:sz w:val="24"/>
          <w:szCs w:val="24"/>
        </w:rPr>
        <w:t>(1), 396-401.</w:t>
      </w:r>
    </w:p>
    <w:p w:rsidR="00D73DA8" w:rsidRPr="00EA2567" w:rsidRDefault="00EA2567" w:rsidP="00BC796B">
      <w:pPr>
        <w:jc w:val="both"/>
        <w:rPr>
          <w:sz w:val="24"/>
          <w:szCs w:val="24"/>
        </w:rPr>
      </w:pPr>
      <w:r w:rsidRPr="00EA2567">
        <w:rPr>
          <w:sz w:val="24"/>
          <w:szCs w:val="24"/>
        </w:rPr>
        <w:fldChar w:fldCharType="end"/>
      </w:r>
    </w:p>
    <w:sectPr w:rsidR="00D73DA8" w:rsidRPr="00EA2567" w:rsidSect="00EA2567">
      <w:headerReference w:type="default" r:id="rId9"/>
      <w:pgSz w:w="12240" w:h="15840" w:code="1"/>
      <w:pgMar w:top="1008" w:right="936" w:bottom="1008" w:left="936" w:header="432" w:footer="432" w:gutter="0"/>
      <w:cols w:num="2" w:space="28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25" w:rsidRDefault="00DB4F25" w:rsidP="00337130">
      <w:r>
        <w:separator/>
      </w:r>
    </w:p>
  </w:endnote>
  <w:endnote w:type="continuationSeparator" w:id="0">
    <w:p w:rsidR="00DB4F25" w:rsidRDefault="00DB4F25" w:rsidP="00337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25" w:rsidRDefault="00DB4F25" w:rsidP="00337130">
      <w:r>
        <w:separator/>
      </w:r>
    </w:p>
  </w:footnote>
  <w:footnote w:type="continuationSeparator" w:id="0">
    <w:p w:rsidR="00DB4F25" w:rsidRDefault="00DB4F25" w:rsidP="00337130">
      <w:r>
        <w:continuationSeparator/>
      </w:r>
    </w:p>
  </w:footnote>
  <w:footnote w:id="1">
    <w:p w:rsidR="00E30D00" w:rsidRDefault="00E30D00" w:rsidP="00337130">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D00" w:rsidRDefault="00E30D00">
    <w:pPr>
      <w:framePr w:wrap="auto" w:vAnchor="text" w:hAnchor="margin" w:xAlign="right" w:y="1"/>
    </w:pPr>
    <w:r>
      <w:fldChar w:fldCharType="begin"/>
    </w:r>
    <w:r>
      <w:instrText xml:space="preserve">PAGE  </w:instrText>
    </w:r>
    <w:r>
      <w:fldChar w:fldCharType="separate"/>
    </w:r>
    <w:r w:rsidR="00DB4F25">
      <w:rPr>
        <w:noProof/>
      </w:rPr>
      <w:t>1</w:t>
    </w:r>
    <w:r>
      <w:fldChar w:fldCharType="end"/>
    </w:r>
  </w:p>
  <w:p w:rsidR="00E30D00" w:rsidRDefault="00E30D00">
    <w:pPr>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C52CA3FA"/>
    <w:lvl w:ilvl="0">
      <w:start w:val="1"/>
      <w:numFmt w:val="upperRoman"/>
      <w:lvlText w:val="%1."/>
      <w:legacy w:legacy="1" w:legacySpace="144" w:legacyIndent="144"/>
      <w:lvlJc w:val="left"/>
    </w:lvl>
    <w:lvl w:ilvl="1">
      <w:start w:val="1"/>
      <w:numFmt w:val="upperLetter"/>
      <w:lvlText w:val="%2."/>
      <w:legacy w:legacy="1" w:legacySpace="144" w:legacyIndent="144"/>
      <w:lvlJc w:val="left"/>
      <w:rPr>
        <w:b w:val="0"/>
      </w:rPr>
    </w:lvl>
    <w:lvl w:ilvl="2">
      <w:start w:val="1"/>
      <w:numFmt w:val="decimal"/>
      <w:lvlText w:val="%3)"/>
      <w:legacy w:legacy="1" w:legacySpace="144" w:legacyIndent="144"/>
      <w:lvlJc w:val="left"/>
      <w:rPr>
        <w:i/>
      </w:rPr>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ECB3F92"/>
    <w:multiLevelType w:val="hybridMultilevel"/>
    <w:tmpl w:val="EB4A3E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3A80284"/>
    <w:multiLevelType w:val="hybridMultilevel"/>
    <w:tmpl w:val="60A6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75830"/>
    <w:multiLevelType w:val="hybridMultilevel"/>
    <w:tmpl w:val="3E4A0EB2"/>
    <w:lvl w:ilvl="0" w:tplc="DC96F9CC">
      <w:start w:val="1"/>
      <w:numFmt w:val="upp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9C3C60"/>
    <w:multiLevelType w:val="hybridMultilevel"/>
    <w:tmpl w:val="B0DEB368"/>
    <w:lvl w:ilvl="0" w:tplc="D33E9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001119"/>
    <w:multiLevelType w:val="hybridMultilevel"/>
    <w:tmpl w:val="1FC6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9044DE"/>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num w:numId="1">
    <w:abstractNumId w:val="0"/>
  </w:num>
  <w:num w:numId="2">
    <w:abstractNumId w:val="3"/>
  </w:num>
  <w:num w:numId="3">
    <w:abstractNumId w:val="2"/>
  </w:num>
  <w:num w:numId="4">
    <w:abstractNumId w:val="1"/>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eteoritics Planet Sci &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dz0wwset2fe1ed2d6v90xi020eppw5p00w&quot;&gt;thesis libraryy Copy&lt;record-ids&gt;&lt;item&gt;9&lt;/item&gt;&lt;item&gt;24&lt;/item&gt;&lt;item&gt;34&lt;/item&gt;&lt;item&gt;80&lt;/item&gt;&lt;item&gt;81&lt;/item&gt;&lt;item&gt;83&lt;/item&gt;&lt;item&gt;84&lt;/item&gt;&lt;item&gt;87&lt;/item&gt;&lt;item&gt;88&lt;/item&gt;&lt;item&gt;89&lt;/item&gt;&lt;item&gt;90&lt;/item&gt;&lt;item&gt;91&lt;/item&gt;&lt;item&gt;92&lt;/item&gt;&lt;item&gt;94&lt;/item&gt;&lt;item&gt;95&lt;/item&gt;&lt;item&gt;97&lt;/item&gt;&lt;item&gt;108&lt;/item&gt;&lt;item&gt;109&lt;/item&gt;&lt;item&gt;112&lt;/item&gt;&lt;item&gt;118&lt;/item&gt;&lt;item&gt;119&lt;/item&gt;&lt;/record-ids&gt;&lt;/item&gt;&lt;/Libraries&gt;"/>
  </w:docVars>
  <w:rsids>
    <w:rsidRoot w:val="00337130"/>
    <w:rsid w:val="00116BC8"/>
    <w:rsid w:val="00337130"/>
    <w:rsid w:val="004D48D3"/>
    <w:rsid w:val="004E6791"/>
    <w:rsid w:val="005645BB"/>
    <w:rsid w:val="0067197E"/>
    <w:rsid w:val="009E0FD6"/>
    <w:rsid w:val="00B34D86"/>
    <w:rsid w:val="00BC796B"/>
    <w:rsid w:val="00C64549"/>
    <w:rsid w:val="00D30D0A"/>
    <w:rsid w:val="00D73DA8"/>
    <w:rsid w:val="00DB4F25"/>
    <w:rsid w:val="00E30D00"/>
    <w:rsid w:val="00EA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3D30B0-8A45-4F98-ADC5-737E2D2B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713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16BC8"/>
    <w:pPr>
      <w:keepNext/>
      <w:numPr>
        <w:numId w:val="7"/>
      </w:numPr>
      <w:spacing w:before="240" w:after="80"/>
      <w:jc w:val="center"/>
      <w:outlineLvl w:val="0"/>
    </w:pPr>
    <w:rPr>
      <w:smallCaps/>
      <w:kern w:val="28"/>
      <w:sz w:val="24"/>
    </w:rPr>
  </w:style>
  <w:style w:type="paragraph" w:styleId="Heading2">
    <w:name w:val="heading 2"/>
    <w:basedOn w:val="Normal"/>
    <w:next w:val="Normal"/>
    <w:link w:val="Heading2Char"/>
    <w:uiPriority w:val="9"/>
    <w:qFormat/>
    <w:rsid w:val="00116BC8"/>
    <w:pPr>
      <w:keepNext/>
      <w:numPr>
        <w:ilvl w:val="1"/>
        <w:numId w:val="7"/>
      </w:numPr>
      <w:spacing w:before="120" w:after="60"/>
      <w:outlineLvl w:val="1"/>
    </w:pPr>
    <w:rPr>
      <w:i/>
      <w:iCs/>
      <w:sz w:val="24"/>
    </w:rPr>
  </w:style>
  <w:style w:type="paragraph" w:styleId="Heading3">
    <w:name w:val="heading 3"/>
    <w:basedOn w:val="Normal"/>
    <w:next w:val="Normal"/>
    <w:link w:val="Heading3Char"/>
    <w:uiPriority w:val="9"/>
    <w:qFormat/>
    <w:rsid w:val="00337130"/>
    <w:pPr>
      <w:keepNext/>
      <w:numPr>
        <w:ilvl w:val="2"/>
        <w:numId w:val="7"/>
      </w:numPr>
      <w:outlineLvl w:val="2"/>
    </w:pPr>
    <w:rPr>
      <w:i/>
      <w:iCs/>
    </w:rPr>
  </w:style>
  <w:style w:type="paragraph" w:styleId="Heading4">
    <w:name w:val="heading 4"/>
    <w:basedOn w:val="Normal"/>
    <w:next w:val="Normal"/>
    <w:link w:val="Heading4Char"/>
    <w:uiPriority w:val="9"/>
    <w:qFormat/>
    <w:rsid w:val="00337130"/>
    <w:pPr>
      <w:keepNext/>
      <w:numPr>
        <w:ilvl w:val="3"/>
        <w:numId w:val="7"/>
      </w:numPr>
      <w:spacing w:before="240" w:after="60"/>
      <w:outlineLvl w:val="3"/>
    </w:pPr>
    <w:rPr>
      <w:i/>
      <w:iCs/>
      <w:sz w:val="18"/>
      <w:szCs w:val="18"/>
    </w:rPr>
  </w:style>
  <w:style w:type="paragraph" w:styleId="Heading5">
    <w:name w:val="heading 5"/>
    <w:basedOn w:val="Normal"/>
    <w:next w:val="Normal"/>
    <w:link w:val="Heading5Char"/>
    <w:uiPriority w:val="9"/>
    <w:qFormat/>
    <w:rsid w:val="00337130"/>
    <w:pPr>
      <w:numPr>
        <w:ilvl w:val="4"/>
        <w:numId w:val="7"/>
      </w:numPr>
      <w:spacing w:before="240" w:after="60"/>
      <w:outlineLvl w:val="4"/>
    </w:pPr>
    <w:rPr>
      <w:sz w:val="18"/>
      <w:szCs w:val="18"/>
    </w:rPr>
  </w:style>
  <w:style w:type="paragraph" w:styleId="Heading6">
    <w:name w:val="heading 6"/>
    <w:basedOn w:val="Normal"/>
    <w:next w:val="Normal"/>
    <w:link w:val="Heading6Char"/>
    <w:uiPriority w:val="9"/>
    <w:qFormat/>
    <w:rsid w:val="00337130"/>
    <w:pPr>
      <w:numPr>
        <w:ilvl w:val="5"/>
        <w:numId w:val="7"/>
      </w:numPr>
      <w:spacing w:before="240" w:after="60"/>
      <w:outlineLvl w:val="5"/>
    </w:pPr>
    <w:rPr>
      <w:i/>
      <w:iCs/>
      <w:sz w:val="16"/>
      <w:szCs w:val="16"/>
    </w:rPr>
  </w:style>
  <w:style w:type="paragraph" w:styleId="Heading7">
    <w:name w:val="heading 7"/>
    <w:basedOn w:val="Normal"/>
    <w:next w:val="Normal"/>
    <w:link w:val="Heading7Char"/>
    <w:uiPriority w:val="9"/>
    <w:qFormat/>
    <w:rsid w:val="00337130"/>
    <w:pPr>
      <w:numPr>
        <w:ilvl w:val="6"/>
        <w:numId w:val="7"/>
      </w:numPr>
      <w:spacing w:before="240" w:after="60"/>
      <w:outlineLvl w:val="6"/>
    </w:pPr>
    <w:rPr>
      <w:sz w:val="16"/>
      <w:szCs w:val="16"/>
    </w:rPr>
  </w:style>
  <w:style w:type="paragraph" w:styleId="Heading8">
    <w:name w:val="heading 8"/>
    <w:basedOn w:val="Normal"/>
    <w:next w:val="Normal"/>
    <w:link w:val="Heading8Char"/>
    <w:uiPriority w:val="9"/>
    <w:qFormat/>
    <w:rsid w:val="00337130"/>
    <w:pPr>
      <w:numPr>
        <w:ilvl w:val="7"/>
        <w:numId w:val="7"/>
      </w:numPr>
      <w:spacing w:before="240" w:after="60"/>
      <w:outlineLvl w:val="7"/>
    </w:pPr>
    <w:rPr>
      <w:i/>
      <w:iCs/>
      <w:sz w:val="16"/>
      <w:szCs w:val="16"/>
    </w:rPr>
  </w:style>
  <w:style w:type="paragraph" w:styleId="Heading9">
    <w:name w:val="heading 9"/>
    <w:basedOn w:val="Normal"/>
    <w:next w:val="Normal"/>
    <w:link w:val="Heading9Char"/>
    <w:uiPriority w:val="9"/>
    <w:qFormat/>
    <w:rsid w:val="00337130"/>
    <w:pPr>
      <w:numPr>
        <w:ilvl w:val="8"/>
        <w:numId w:val="7"/>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BC8"/>
    <w:rPr>
      <w:rFonts w:ascii="Times New Roman" w:eastAsia="Times New Roman" w:hAnsi="Times New Roman" w:cs="Times New Roman"/>
      <w:smallCaps/>
      <w:kern w:val="28"/>
      <w:sz w:val="24"/>
      <w:szCs w:val="20"/>
    </w:rPr>
  </w:style>
  <w:style w:type="character" w:customStyle="1" w:styleId="Heading2Char">
    <w:name w:val="Heading 2 Char"/>
    <w:basedOn w:val="DefaultParagraphFont"/>
    <w:link w:val="Heading2"/>
    <w:uiPriority w:val="9"/>
    <w:rsid w:val="00116BC8"/>
    <w:rPr>
      <w:rFonts w:ascii="Times New Roman" w:eastAsia="Times New Roman" w:hAnsi="Times New Roman" w:cs="Times New Roman"/>
      <w:i/>
      <w:iCs/>
      <w:sz w:val="24"/>
      <w:szCs w:val="20"/>
    </w:rPr>
  </w:style>
  <w:style w:type="character" w:customStyle="1" w:styleId="Heading3Char">
    <w:name w:val="Heading 3 Char"/>
    <w:basedOn w:val="DefaultParagraphFont"/>
    <w:link w:val="Heading3"/>
    <w:uiPriority w:val="9"/>
    <w:rsid w:val="00337130"/>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rsid w:val="00337130"/>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rsid w:val="00337130"/>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rsid w:val="00337130"/>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rsid w:val="00337130"/>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rsid w:val="00337130"/>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rsid w:val="00337130"/>
    <w:rPr>
      <w:rFonts w:ascii="Times New Roman" w:eastAsia="Times New Roman" w:hAnsi="Times New Roman" w:cs="Times New Roman"/>
      <w:sz w:val="16"/>
      <w:szCs w:val="16"/>
    </w:rPr>
  </w:style>
  <w:style w:type="paragraph" w:customStyle="1" w:styleId="Authors">
    <w:name w:val="Authors"/>
    <w:basedOn w:val="Normal"/>
    <w:next w:val="Normal"/>
    <w:rsid w:val="00337130"/>
    <w:pPr>
      <w:framePr w:w="9072" w:hSpace="187" w:vSpace="187" w:wrap="notBeside" w:vAnchor="text" w:hAnchor="page" w:xAlign="center" w:y="1"/>
      <w:spacing w:after="320"/>
      <w:jc w:val="center"/>
    </w:pPr>
    <w:rPr>
      <w:sz w:val="22"/>
      <w:szCs w:val="22"/>
    </w:rPr>
  </w:style>
  <w:style w:type="paragraph" w:styleId="Title">
    <w:name w:val="Title"/>
    <w:basedOn w:val="Normal"/>
    <w:next w:val="Normal"/>
    <w:link w:val="TitleChar"/>
    <w:qFormat/>
    <w:rsid w:val="00337130"/>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337130"/>
    <w:rPr>
      <w:rFonts w:ascii="Times New Roman" w:eastAsia="Times New Roman" w:hAnsi="Times New Roman" w:cs="Times New Roman"/>
      <w:kern w:val="28"/>
      <w:sz w:val="48"/>
      <w:szCs w:val="48"/>
    </w:rPr>
  </w:style>
  <w:style w:type="paragraph" w:styleId="FootnoteText">
    <w:name w:val="footnote text"/>
    <w:basedOn w:val="Normal"/>
    <w:link w:val="FootnoteTextChar"/>
    <w:semiHidden/>
    <w:rsid w:val="00337130"/>
    <w:pPr>
      <w:ind w:firstLine="202"/>
      <w:jc w:val="both"/>
    </w:pPr>
    <w:rPr>
      <w:sz w:val="16"/>
      <w:szCs w:val="16"/>
    </w:rPr>
  </w:style>
  <w:style w:type="character" w:customStyle="1" w:styleId="FootnoteTextChar">
    <w:name w:val="Footnote Text Char"/>
    <w:basedOn w:val="DefaultParagraphFont"/>
    <w:link w:val="FootnoteText"/>
    <w:semiHidden/>
    <w:rsid w:val="00337130"/>
    <w:rPr>
      <w:rFonts w:ascii="Times New Roman" w:eastAsia="Times New Roman" w:hAnsi="Times New Roman" w:cs="Times New Roman"/>
      <w:sz w:val="16"/>
      <w:szCs w:val="16"/>
    </w:rPr>
  </w:style>
  <w:style w:type="character" w:styleId="FootnoteReference">
    <w:name w:val="footnote reference"/>
    <w:basedOn w:val="DefaultParagraphFont"/>
    <w:semiHidden/>
    <w:rsid w:val="00337130"/>
    <w:rPr>
      <w:vertAlign w:val="superscript"/>
    </w:rPr>
  </w:style>
  <w:style w:type="paragraph" w:customStyle="1" w:styleId="Text">
    <w:name w:val="Text"/>
    <w:basedOn w:val="Normal"/>
    <w:rsid w:val="00337130"/>
    <w:pPr>
      <w:widowControl w:val="0"/>
      <w:spacing w:line="252" w:lineRule="auto"/>
      <w:ind w:firstLine="202"/>
      <w:jc w:val="both"/>
    </w:pPr>
  </w:style>
  <w:style w:type="paragraph" w:customStyle="1" w:styleId="FigureCaption">
    <w:name w:val="Figure Caption"/>
    <w:basedOn w:val="Normal"/>
    <w:rsid w:val="00337130"/>
    <w:pPr>
      <w:jc w:val="both"/>
    </w:pPr>
    <w:rPr>
      <w:sz w:val="16"/>
      <w:szCs w:val="16"/>
    </w:rPr>
  </w:style>
  <w:style w:type="paragraph" w:customStyle="1" w:styleId="TableTitle">
    <w:name w:val="Table Title"/>
    <w:basedOn w:val="Normal"/>
    <w:rsid w:val="00337130"/>
    <w:pPr>
      <w:jc w:val="center"/>
    </w:pPr>
    <w:rPr>
      <w:smallCaps/>
      <w:sz w:val="16"/>
      <w:szCs w:val="16"/>
    </w:rPr>
  </w:style>
  <w:style w:type="paragraph" w:customStyle="1" w:styleId="ReferenceHead">
    <w:name w:val="Reference Head"/>
    <w:basedOn w:val="Heading1"/>
    <w:link w:val="ReferenceHeadChar"/>
    <w:rsid w:val="00337130"/>
    <w:pPr>
      <w:numPr>
        <w:numId w:val="0"/>
      </w:numPr>
    </w:pPr>
  </w:style>
  <w:style w:type="paragraph" w:customStyle="1" w:styleId="Equation">
    <w:name w:val="Equation"/>
    <w:basedOn w:val="Normal"/>
    <w:next w:val="Normal"/>
    <w:rsid w:val="00337130"/>
    <w:pPr>
      <w:widowControl w:val="0"/>
      <w:tabs>
        <w:tab w:val="right" w:pos="5040"/>
      </w:tabs>
      <w:spacing w:line="252" w:lineRule="auto"/>
      <w:jc w:val="both"/>
    </w:pPr>
  </w:style>
  <w:style w:type="character" w:styleId="Hyperlink">
    <w:name w:val="Hyperlink"/>
    <w:basedOn w:val="DefaultParagraphFont"/>
    <w:rsid w:val="00337130"/>
    <w:rPr>
      <w:color w:val="0000FF"/>
      <w:u w:val="single"/>
    </w:rPr>
  </w:style>
  <w:style w:type="character" w:customStyle="1" w:styleId="bodytype">
    <w:name w:val="body type"/>
    <w:basedOn w:val="DefaultParagraphFont"/>
    <w:uiPriority w:val="99"/>
    <w:rsid w:val="00337130"/>
    <w:rPr>
      <w:rFonts w:ascii="Formata-Regular" w:hAnsi="Formata-Regular" w:cs="Formata-Regular"/>
      <w:color w:val="000000"/>
      <w:sz w:val="22"/>
      <w:szCs w:val="22"/>
    </w:rPr>
  </w:style>
  <w:style w:type="paragraph" w:customStyle="1" w:styleId="Style1">
    <w:name w:val="Style1"/>
    <w:basedOn w:val="ReferenceHead"/>
    <w:link w:val="Style1Char"/>
    <w:qFormat/>
    <w:rsid w:val="00BC796B"/>
  </w:style>
  <w:style w:type="character" w:customStyle="1" w:styleId="ReferenceHeadChar">
    <w:name w:val="Reference Head Char"/>
    <w:basedOn w:val="Heading1Char"/>
    <w:link w:val="ReferenceHead"/>
    <w:rsid w:val="00337130"/>
    <w:rPr>
      <w:rFonts w:ascii="Times New Roman" w:eastAsia="Times New Roman" w:hAnsi="Times New Roman" w:cs="Times New Roman"/>
      <w:smallCaps/>
      <w:kern w:val="28"/>
      <w:sz w:val="24"/>
      <w:szCs w:val="20"/>
    </w:rPr>
  </w:style>
  <w:style w:type="character" w:customStyle="1" w:styleId="Style1Char">
    <w:name w:val="Style1 Char"/>
    <w:basedOn w:val="ReferenceHeadChar"/>
    <w:link w:val="Style1"/>
    <w:rsid w:val="00BC796B"/>
    <w:rPr>
      <w:rFonts w:ascii="Times New Roman" w:eastAsia="Times New Roman" w:hAnsi="Times New Roman" w:cs="Times New Roman"/>
      <w:smallCaps/>
      <w:kern w:val="28"/>
      <w:sz w:val="24"/>
      <w:szCs w:val="20"/>
    </w:rPr>
  </w:style>
  <w:style w:type="character" w:customStyle="1" w:styleId="BodyText2">
    <w:name w:val="Body Text2"/>
    <w:basedOn w:val="DefaultParagraphFont"/>
    <w:uiPriority w:val="99"/>
    <w:rsid w:val="00337130"/>
    <w:rPr>
      <w:rFonts w:ascii="Verdana" w:hAnsi="Verdana" w:cs="Verdana"/>
      <w:color w:val="000000"/>
      <w:sz w:val="22"/>
      <w:szCs w:val="22"/>
    </w:rPr>
  </w:style>
  <w:style w:type="table" w:styleId="TableGrid">
    <w:name w:val="Table Grid"/>
    <w:basedOn w:val="TableNormal"/>
    <w:uiPriority w:val="39"/>
    <w:rsid w:val="00E30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30D00"/>
    <w:pPr>
      <w:spacing w:after="200"/>
    </w:pPr>
    <w:rPr>
      <w:i/>
      <w:iCs/>
      <w:color w:val="44546A" w:themeColor="text2"/>
      <w:sz w:val="18"/>
      <w:szCs w:val="18"/>
    </w:rPr>
  </w:style>
  <w:style w:type="paragraph" w:customStyle="1" w:styleId="EndNoteBibliographyTitle">
    <w:name w:val="EndNote Bibliography Title"/>
    <w:basedOn w:val="Normal"/>
    <w:link w:val="EndNoteBibliographyTitleChar"/>
    <w:rsid w:val="00EA2567"/>
    <w:pPr>
      <w:jc w:val="center"/>
    </w:pPr>
    <w:rPr>
      <w:noProof/>
    </w:rPr>
  </w:style>
  <w:style w:type="character" w:customStyle="1" w:styleId="EndNoteBibliographyTitleChar">
    <w:name w:val="EndNote Bibliography Title Char"/>
    <w:basedOn w:val="DefaultParagraphFont"/>
    <w:link w:val="EndNoteBibliographyTitle"/>
    <w:rsid w:val="00EA2567"/>
    <w:rPr>
      <w:rFonts w:ascii="Times New Roman" w:eastAsia="Times New Roman" w:hAnsi="Times New Roman" w:cs="Times New Roman"/>
      <w:noProof/>
      <w:sz w:val="20"/>
      <w:szCs w:val="20"/>
    </w:rPr>
  </w:style>
  <w:style w:type="paragraph" w:customStyle="1" w:styleId="EndNoteBibliography">
    <w:name w:val="EndNote Bibliography"/>
    <w:basedOn w:val="Normal"/>
    <w:link w:val="EndNoteBibliographyChar"/>
    <w:rsid w:val="00EA2567"/>
    <w:rPr>
      <w:noProof/>
    </w:rPr>
  </w:style>
  <w:style w:type="character" w:customStyle="1" w:styleId="EndNoteBibliographyChar">
    <w:name w:val="EndNote Bibliography Char"/>
    <w:basedOn w:val="DefaultParagraphFont"/>
    <w:link w:val="EndNoteBibliography"/>
    <w:rsid w:val="00EA2567"/>
    <w:rPr>
      <w:rFonts w:ascii="Times New Roman" w:eastAsia="Times New Roman" w:hAnsi="Times New Roman" w:cs="Times New Roman"/>
      <w:noProof/>
      <w:sz w:val="20"/>
      <w:szCs w:val="20"/>
    </w:rPr>
  </w:style>
  <w:style w:type="paragraph" w:styleId="ListParagraph">
    <w:name w:val="List Paragraph"/>
    <w:basedOn w:val="Normal"/>
    <w:uiPriority w:val="34"/>
    <w:qFormat/>
    <w:rsid w:val="00EA2567"/>
    <w:pPr>
      <w:ind w:left="720"/>
      <w:contextualSpacing/>
    </w:pPr>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2</Pages>
  <Words>7248</Words>
  <Characters>34211</Characters>
  <Application>Microsoft Office Word</Application>
  <DocSecurity>0</DocSecurity>
  <Lines>633</Lines>
  <Paragraphs>538</Paragraphs>
  <ScaleCrop>false</ScaleCrop>
  <HeadingPairs>
    <vt:vector size="2" baseType="variant">
      <vt:variant>
        <vt:lpstr>Title</vt:lpstr>
      </vt:variant>
      <vt:variant>
        <vt:i4>1</vt:i4>
      </vt:variant>
    </vt:vector>
  </HeadingPairs>
  <TitlesOfParts>
    <vt:vector size="1" baseType="lpstr">
      <vt:lpstr/>
    </vt:vector>
  </TitlesOfParts>
  <Company>University of Tennessee</Company>
  <LinksUpToDate>false</LinksUpToDate>
  <CharactersWithSpaces>40921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Wetteland, Chris</dc:creator>
  <cp:keywords/>
  <dc:description/>
  <cp:lastModifiedBy>Wetteland, Chris</cp:lastModifiedBy>
  <cp:revision>5</cp:revision>
  <dcterms:created xsi:type="dcterms:W3CDTF">2018-11-05T16:36:00Z</dcterms:created>
  <dcterms:modified xsi:type="dcterms:W3CDTF">2018-11-05T21:02:00Z</dcterms:modified>
</cp:coreProperties>
</file>